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EDD1" w14:textId="6847FB9C" w:rsidR="00EB25BD" w:rsidRDefault="00EB25BD" w:rsidP="00EB25BD">
      <w:pPr>
        <w:spacing w:after="480"/>
      </w:pPr>
      <w:r>
        <w:rPr>
          <w:noProof/>
        </w:rPr>
        <w:drawing>
          <wp:inline distT="0" distB="0" distL="0" distR="0" wp14:anchorId="25D5E7AA" wp14:editId="1A252A4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EB25BD" w14:paraId="24FB4EC0" w14:textId="77777777" w:rsidTr="00937C7D">
        <w:trPr>
          <w:tblHeader/>
        </w:trPr>
        <w:tc>
          <w:tcPr>
            <w:tcW w:w="3456" w:type="dxa"/>
            <w:tcBorders>
              <w:bottom w:val="single" w:sz="18" w:space="0" w:color="auto"/>
            </w:tcBorders>
          </w:tcPr>
          <w:p w14:paraId="36BE53AD" w14:textId="77777777" w:rsidR="00EB25BD" w:rsidRPr="00B805DB" w:rsidRDefault="00EB25BD" w:rsidP="00937C7D">
            <w:pPr>
              <w:pStyle w:val="Heading1"/>
              <w:spacing w:after="240"/>
              <w:outlineLvl w:val="0"/>
            </w:pPr>
            <w:r>
              <w:t>Report f</w:t>
            </w:r>
            <w:r w:rsidRPr="00C869F3">
              <w:t>or:</w:t>
            </w:r>
          </w:p>
        </w:tc>
        <w:tc>
          <w:tcPr>
            <w:tcW w:w="5054" w:type="dxa"/>
            <w:tcBorders>
              <w:bottom w:val="single" w:sz="18" w:space="0" w:color="auto"/>
            </w:tcBorders>
          </w:tcPr>
          <w:p w14:paraId="3E9CEB4A" w14:textId="77777777" w:rsidR="00EB25BD" w:rsidRPr="005E3A10" w:rsidRDefault="00EB25BD" w:rsidP="00937C7D">
            <w:pPr>
              <w:pStyle w:val="Heading1"/>
              <w:outlineLvl w:val="0"/>
              <w:rPr>
                <w:szCs w:val="24"/>
              </w:rPr>
            </w:pPr>
            <w:r w:rsidRPr="005E3A10">
              <w:t>Cabinet</w:t>
            </w:r>
          </w:p>
        </w:tc>
      </w:tr>
      <w:tr w:rsidR="00EB25BD" w14:paraId="1BF93F94" w14:textId="77777777" w:rsidTr="00937C7D">
        <w:tc>
          <w:tcPr>
            <w:tcW w:w="3456" w:type="dxa"/>
            <w:tcBorders>
              <w:top w:val="single" w:sz="18" w:space="0" w:color="auto"/>
            </w:tcBorders>
          </w:tcPr>
          <w:p w14:paraId="5808DF8F" w14:textId="77777777" w:rsidR="00EB25BD" w:rsidRPr="00C13A5F" w:rsidRDefault="00EB25BD" w:rsidP="00937C7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6775598C" w14:textId="3490D6A7" w:rsidR="00EB25BD" w:rsidRPr="005E3A10" w:rsidRDefault="00EB25BD" w:rsidP="00937C7D">
            <w:pPr>
              <w:rPr>
                <w:rFonts w:cs="Arial"/>
                <w:szCs w:val="24"/>
              </w:rPr>
            </w:pPr>
            <w:r>
              <w:rPr>
                <w:rFonts w:cs="Arial"/>
                <w:szCs w:val="24"/>
              </w:rPr>
              <w:t>24 January 2022</w:t>
            </w:r>
          </w:p>
        </w:tc>
      </w:tr>
      <w:tr w:rsidR="00EB25BD" w14:paraId="10335F4F" w14:textId="77777777" w:rsidTr="00937C7D">
        <w:tc>
          <w:tcPr>
            <w:tcW w:w="3456" w:type="dxa"/>
          </w:tcPr>
          <w:p w14:paraId="4408E3F0" w14:textId="77777777" w:rsidR="00EB25BD" w:rsidRPr="00C13A5F" w:rsidRDefault="00EB25BD" w:rsidP="00937C7D">
            <w:pPr>
              <w:pStyle w:val="Infotext"/>
              <w:spacing w:after="240"/>
              <w:rPr>
                <w:rFonts w:ascii="Arial Black" w:hAnsi="Arial Black"/>
              </w:rPr>
            </w:pPr>
            <w:r w:rsidRPr="00C13A5F">
              <w:rPr>
                <w:rFonts w:ascii="Arial Black" w:hAnsi="Arial Black" w:cs="Arial"/>
              </w:rPr>
              <w:t>Subject:</w:t>
            </w:r>
          </w:p>
        </w:tc>
        <w:tc>
          <w:tcPr>
            <w:tcW w:w="5054" w:type="dxa"/>
          </w:tcPr>
          <w:p w14:paraId="241D397E" w14:textId="66044A1F" w:rsidR="00EB25BD" w:rsidRPr="005E3A10" w:rsidRDefault="00EB25BD" w:rsidP="00937C7D">
            <w:pPr>
              <w:rPr>
                <w:rFonts w:cs="Arial"/>
                <w:szCs w:val="24"/>
              </w:rPr>
            </w:pPr>
            <w:r w:rsidRPr="00734C10">
              <w:rPr>
                <w:rFonts w:cs="Arial"/>
                <w:szCs w:val="24"/>
              </w:rPr>
              <w:t>Fees &amp; Charges</w:t>
            </w:r>
            <w:r>
              <w:rPr>
                <w:rFonts w:cs="Arial"/>
                <w:szCs w:val="24"/>
              </w:rPr>
              <w:t xml:space="preserve"> 2022/23</w:t>
            </w:r>
          </w:p>
        </w:tc>
      </w:tr>
      <w:tr w:rsidR="00EB25BD" w14:paraId="4643D40C" w14:textId="77777777" w:rsidTr="00937C7D">
        <w:tc>
          <w:tcPr>
            <w:tcW w:w="3456" w:type="dxa"/>
          </w:tcPr>
          <w:p w14:paraId="1DDC0695" w14:textId="77777777" w:rsidR="00EB25BD" w:rsidRPr="00C13A5F" w:rsidRDefault="00EB25BD" w:rsidP="00937C7D">
            <w:pPr>
              <w:pStyle w:val="Infotext"/>
              <w:spacing w:after="240"/>
              <w:rPr>
                <w:rFonts w:ascii="Arial Black" w:hAnsi="Arial Black" w:cs="Arial"/>
              </w:rPr>
            </w:pPr>
            <w:r w:rsidRPr="00C13A5F">
              <w:rPr>
                <w:rFonts w:ascii="Arial Black" w:hAnsi="Arial Black" w:cs="Arial"/>
              </w:rPr>
              <w:t>Key Decision:</w:t>
            </w:r>
          </w:p>
        </w:tc>
        <w:tc>
          <w:tcPr>
            <w:tcW w:w="5054" w:type="dxa"/>
          </w:tcPr>
          <w:p w14:paraId="1A3033E7" w14:textId="4D9C793A" w:rsidR="00EB25BD" w:rsidRPr="005E3A10" w:rsidRDefault="00EB25BD" w:rsidP="00EB25BD">
            <w:pPr>
              <w:pStyle w:val="Infotext"/>
              <w:rPr>
                <w:rFonts w:cs="Arial"/>
                <w:szCs w:val="24"/>
              </w:rPr>
            </w:pPr>
            <w:r w:rsidRPr="005E3A10">
              <w:rPr>
                <w:rFonts w:cs="Arial"/>
                <w:sz w:val="24"/>
                <w:szCs w:val="24"/>
              </w:rPr>
              <w:t xml:space="preserve">Yes </w:t>
            </w:r>
          </w:p>
        </w:tc>
      </w:tr>
      <w:tr w:rsidR="00EB25BD" w14:paraId="0077D0C2" w14:textId="77777777" w:rsidTr="00937C7D">
        <w:tc>
          <w:tcPr>
            <w:tcW w:w="3456" w:type="dxa"/>
          </w:tcPr>
          <w:p w14:paraId="332AB3DE" w14:textId="77777777" w:rsidR="00EB25BD" w:rsidRPr="00C13A5F" w:rsidRDefault="00EB25BD" w:rsidP="00937C7D">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8B915AC" w14:textId="0CEF8024" w:rsidR="00EB25BD" w:rsidRPr="00E11D4F" w:rsidRDefault="00EB25BD" w:rsidP="00EB25BD">
            <w:pPr>
              <w:pStyle w:val="Infotext"/>
              <w:rPr>
                <w:rFonts w:cs="Arial"/>
                <w:sz w:val="24"/>
                <w:szCs w:val="24"/>
              </w:rPr>
            </w:pPr>
            <w:r>
              <w:rPr>
                <w:rFonts w:cs="Arial"/>
                <w:sz w:val="24"/>
                <w:szCs w:val="24"/>
              </w:rPr>
              <w:t>Dawn Calvert</w:t>
            </w:r>
            <w:r w:rsidR="00660BEE">
              <w:rPr>
                <w:rFonts w:cs="Arial"/>
                <w:sz w:val="24"/>
                <w:szCs w:val="24"/>
              </w:rPr>
              <w:t xml:space="preserve"> - </w:t>
            </w:r>
            <w:r>
              <w:rPr>
                <w:rFonts w:cs="Arial"/>
                <w:sz w:val="24"/>
                <w:szCs w:val="24"/>
              </w:rPr>
              <w:t>Director of Finance and Assurance</w:t>
            </w:r>
          </w:p>
          <w:p w14:paraId="0E8431D1" w14:textId="77777777" w:rsidR="00EB25BD" w:rsidRPr="005E3A10" w:rsidRDefault="00EB25BD" w:rsidP="00937C7D">
            <w:pPr>
              <w:pStyle w:val="Infotext"/>
              <w:rPr>
                <w:rFonts w:cs="Arial"/>
                <w:sz w:val="24"/>
                <w:szCs w:val="24"/>
              </w:rPr>
            </w:pPr>
          </w:p>
        </w:tc>
      </w:tr>
      <w:tr w:rsidR="00EB25BD" w14:paraId="50153FD1" w14:textId="77777777" w:rsidTr="00937C7D">
        <w:tc>
          <w:tcPr>
            <w:tcW w:w="3456" w:type="dxa"/>
          </w:tcPr>
          <w:p w14:paraId="0F904DF0" w14:textId="77777777" w:rsidR="00EB25BD" w:rsidRPr="00C13A5F" w:rsidRDefault="00EB25BD" w:rsidP="00937C7D">
            <w:pPr>
              <w:pStyle w:val="Infotext"/>
              <w:spacing w:after="240"/>
              <w:rPr>
                <w:rFonts w:ascii="Arial Black" w:hAnsi="Arial Black"/>
              </w:rPr>
            </w:pPr>
            <w:r w:rsidRPr="00DB6C3D">
              <w:rPr>
                <w:rFonts w:ascii="Arial Black" w:hAnsi="Arial Black"/>
              </w:rPr>
              <w:t>Portfolio Holder:</w:t>
            </w:r>
          </w:p>
        </w:tc>
        <w:tc>
          <w:tcPr>
            <w:tcW w:w="5054" w:type="dxa"/>
          </w:tcPr>
          <w:p w14:paraId="3ECCA32C" w14:textId="77777777" w:rsidR="00EB25BD" w:rsidRDefault="00EB25BD" w:rsidP="00937C7D">
            <w:pPr>
              <w:pStyle w:val="Infotext"/>
              <w:rPr>
                <w:bCs/>
                <w:sz w:val="24"/>
                <w:szCs w:val="24"/>
              </w:rPr>
            </w:pPr>
            <w:r w:rsidRPr="00830C10">
              <w:rPr>
                <w:bCs/>
                <w:sz w:val="24"/>
                <w:szCs w:val="24"/>
              </w:rPr>
              <w:t xml:space="preserve">Councillor </w:t>
            </w:r>
            <w:r>
              <w:rPr>
                <w:bCs/>
                <w:sz w:val="24"/>
                <w:szCs w:val="24"/>
              </w:rPr>
              <w:t>Natasha Proctor</w:t>
            </w:r>
            <w:r w:rsidR="00660BEE">
              <w:rPr>
                <w:bCs/>
                <w:sz w:val="24"/>
                <w:szCs w:val="24"/>
              </w:rPr>
              <w:t xml:space="preserve"> - </w:t>
            </w:r>
            <w:r w:rsidRPr="00022045">
              <w:rPr>
                <w:bCs/>
                <w:sz w:val="24"/>
                <w:szCs w:val="24"/>
              </w:rPr>
              <w:t>Deputy Leader and Portfolio Holder for Finance &amp; Resources</w:t>
            </w:r>
          </w:p>
          <w:p w14:paraId="6B3AF6A6" w14:textId="05162D18" w:rsidR="00660BEE" w:rsidRPr="005E3A10" w:rsidRDefault="00660BEE" w:rsidP="00937C7D">
            <w:pPr>
              <w:pStyle w:val="Infotext"/>
              <w:rPr>
                <w:rFonts w:cs="Arial"/>
                <w:color w:val="FF0000"/>
                <w:sz w:val="24"/>
                <w:szCs w:val="24"/>
              </w:rPr>
            </w:pPr>
          </w:p>
        </w:tc>
      </w:tr>
      <w:tr w:rsidR="00EB25BD" w14:paraId="28BE4A01" w14:textId="77777777" w:rsidTr="00937C7D">
        <w:tc>
          <w:tcPr>
            <w:tcW w:w="3456" w:type="dxa"/>
          </w:tcPr>
          <w:p w14:paraId="5A3E20BF" w14:textId="77777777" w:rsidR="00EB25BD" w:rsidRPr="00C13A5F" w:rsidRDefault="00EB25BD" w:rsidP="00937C7D">
            <w:pPr>
              <w:pStyle w:val="Infotext"/>
              <w:spacing w:after="240"/>
              <w:rPr>
                <w:rFonts w:ascii="Arial Black" w:hAnsi="Arial Black"/>
              </w:rPr>
            </w:pPr>
            <w:r w:rsidRPr="00DB6C3D">
              <w:rPr>
                <w:rFonts w:ascii="Arial Black" w:hAnsi="Arial Black"/>
              </w:rPr>
              <w:t>Exempt:</w:t>
            </w:r>
          </w:p>
        </w:tc>
        <w:tc>
          <w:tcPr>
            <w:tcW w:w="5054" w:type="dxa"/>
          </w:tcPr>
          <w:p w14:paraId="1C7B27D7" w14:textId="5FF6C1C2" w:rsidR="00EB25BD" w:rsidRPr="005E3A10" w:rsidRDefault="00EB25BD" w:rsidP="00937C7D">
            <w:pPr>
              <w:pStyle w:val="Infotext"/>
              <w:rPr>
                <w:rFonts w:cs="Arial"/>
                <w:sz w:val="24"/>
                <w:szCs w:val="24"/>
              </w:rPr>
            </w:pPr>
            <w:r w:rsidRPr="005E3A10">
              <w:rPr>
                <w:rFonts w:cs="Arial"/>
                <w:sz w:val="24"/>
                <w:szCs w:val="24"/>
              </w:rPr>
              <w:t>No</w:t>
            </w:r>
          </w:p>
          <w:p w14:paraId="16392146" w14:textId="77777777" w:rsidR="00EB25BD" w:rsidRPr="005E3A10" w:rsidRDefault="00EB25BD" w:rsidP="00EB25BD">
            <w:pPr>
              <w:pStyle w:val="Infotext"/>
              <w:rPr>
                <w:rFonts w:cs="Arial"/>
                <w:color w:val="FF0000"/>
                <w:sz w:val="24"/>
                <w:szCs w:val="24"/>
              </w:rPr>
            </w:pPr>
          </w:p>
        </w:tc>
      </w:tr>
      <w:tr w:rsidR="00EB25BD" w14:paraId="689ED6B3" w14:textId="77777777" w:rsidTr="00937C7D">
        <w:tc>
          <w:tcPr>
            <w:tcW w:w="3456" w:type="dxa"/>
          </w:tcPr>
          <w:p w14:paraId="2729DE75" w14:textId="77777777" w:rsidR="00EB25BD" w:rsidRPr="00C13A5F" w:rsidRDefault="00EB25BD" w:rsidP="00937C7D">
            <w:pPr>
              <w:pStyle w:val="Infotext"/>
              <w:spacing w:after="240"/>
              <w:rPr>
                <w:rFonts w:ascii="Arial Black" w:hAnsi="Arial Black"/>
              </w:rPr>
            </w:pPr>
            <w:r w:rsidRPr="00DB6C3D">
              <w:rPr>
                <w:rFonts w:ascii="Arial Black" w:hAnsi="Arial Black"/>
              </w:rPr>
              <w:t>Decision subject to Call-in:</w:t>
            </w:r>
          </w:p>
        </w:tc>
        <w:tc>
          <w:tcPr>
            <w:tcW w:w="5054" w:type="dxa"/>
          </w:tcPr>
          <w:p w14:paraId="0EAB9C7B" w14:textId="1874183B" w:rsidR="00EB25BD" w:rsidRPr="005E3A10" w:rsidRDefault="00EB25BD" w:rsidP="00EB25BD">
            <w:pPr>
              <w:pStyle w:val="Infotext"/>
              <w:rPr>
                <w:rFonts w:cs="Arial"/>
                <w:szCs w:val="24"/>
              </w:rPr>
            </w:pPr>
            <w:r w:rsidRPr="005E3A10">
              <w:rPr>
                <w:rFonts w:cs="Arial"/>
                <w:sz w:val="24"/>
                <w:szCs w:val="24"/>
              </w:rPr>
              <w:t xml:space="preserve">Yes </w:t>
            </w:r>
          </w:p>
        </w:tc>
      </w:tr>
      <w:tr w:rsidR="00EB25BD" w14:paraId="142D0564" w14:textId="77777777" w:rsidTr="00937C7D">
        <w:tc>
          <w:tcPr>
            <w:tcW w:w="3456" w:type="dxa"/>
          </w:tcPr>
          <w:p w14:paraId="309F7DD3" w14:textId="77777777" w:rsidR="00EB25BD" w:rsidRPr="00C13A5F" w:rsidRDefault="00EB25BD" w:rsidP="00937C7D">
            <w:pPr>
              <w:pStyle w:val="Infotext"/>
              <w:spacing w:after="240"/>
              <w:rPr>
                <w:rFonts w:ascii="Arial Black" w:hAnsi="Arial Black" w:cs="Arial"/>
              </w:rPr>
            </w:pPr>
            <w:r>
              <w:rPr>
                <w:rFonts w:ascii="Arial Black" w:hAnsi="Arial Black" w:cs="Arial"/>
              </w:rPr>
              <w:t>Wards affected:</w:t>
            </w:r>
          </w:p>
        </w:tc>
        <w:tc>
          <w:tcPr>
            <w:tcW w:w="5054" w:type="dxa"/>
          </w:tcPr>
          <w:p w14:paraId="421E0184" w14:textId="5876EB55" w:rsidR="00EB25BD" w:rsidRPr="00307F76" w:rsidRDefault="00EB25BD" w:rsidP="00937C7D">
            <w:pPr>
              <w:rPr>
                <w:rFonts w:cs="Arial"/>
                <w:b/>
                <w:color w:val="FF0000"/>
                <w:szCs w:val="24"/>
              </w:rPr>
            </w:pPr>
            <w:r>
              <w:rPr>
                <w:rFonts w:cs="Arial"/>
                <w:szCs w:val="24"/>
              </w:rPr>
              <w:t>All</w:t>
            </w:r>
          </w:p>
        </w:tc>
      </w:tr>
      <w:tr w:rsidR="00EB25BD" w14:paraId="41BE07E6" w14:textId="77777777" w:rsidTr="00937C7D">
        <w:trPr>
          <w:trHeight w:val="50"/>
        </w:trPr>
        <w:tc>
          <w:tcPr>
            <w:tcW w:w="3456" w:type="dxa"/>
          </w:tcPr>
          <w:p w14:paraId="1E34780A" w14:textId="77777777" w:rsidR="00EB25BD" w:rsidRPr="00C13A5F" w:rsidRDefault="00EB25BD" w:rsidP="00937C7D">
            <w:pPr>
              <w:pStyle w:val="Infotext"/>
              <w:spacing w:after="240"/>
              <w:rPr>
                <w:rFonts w:ascii="Arial Black" w:hAnsi="Arial Black" w:cs="Arial"/>
              </w:rPr>
            </w:pPr>
            <w:r w:rsidRPr="00C13A5F">
              <w:rPr>
                <w:rFonts w:ascii="Arial Black" w:hAnsi="Arial Black" w:cs="Arial"/>
              </w:rPr>
              <w:t>Enclosures:</w:t>
            </w:r>
          </w:p>
        </w:tc>
        <w:tc>
          <w:tcPr>
            <w:tcW w:w="5054" w:type="dxa"/>
          </w:tcPr>
          <w:p w14:paraId="47FD9D7C" w14:textId="77777777" w:rsidR="00EB25BD" w:rsidRPr="00FC4BB6" w:rsidRDefault="00EB25BD" w:rsidP="00EB25BD">
            <w:pPr>
              <w:pStyle w:val="Infotext"/>
              <w:rPr>
                <w:sz w:val="24"/>
                <w:szCs w:val="24"/>
              </w:rPr>
            </w:pPr>
            <w:r w:rsidRPr="00FC4BB6">
              <w:rPr>
                <w:sz w:val="24"/>
                <w:szCs w:val="24"/>
              </w:rPr>
              <w:t>Appendix 1: Harrow Charging Policy</w:t>
            </w:r>
          </w:p>
          <w:p w14:paraId="678F7F01" w14:textId="77777777" w:rsidR="00EB25BD" w:rsidRPr="00FC4BB6" w:rsidRDefault="00EB25BD" w:rsidP="00EB25BD">
            <w:pPr>
              <w:pStyle w:val="Infotext"/>
              <w:rPr>
                <w:sz w:val="24"/>
                <w:szCs w:val="24"/>
                <w:u w:val="single"/>
              </w:rPr>
            </w:pPr>
          </w:p>
          <w:p w14:paraId="070824DB" w14:textId="77777777" w:rsidR="00EB25BD" w:rsidRPr="00FC4BB6" w:rsidRDefault="00EB25BD" w:rsidP="00EB25BD">
            <w:pPr>
              <w:pStyle w:val="Infotext"/>
              <w:rPr>
                <w:sz w:val="24"/>
                <w:szCs w:val="24"/>
                <w:u w:val="single"/>
              </w:rPr>
            </w:pPr>
            <w:r w:rsidRPr="00FC4BB6">
              <w:rPr>
                <w:sz w:val="24"/>
                <w:szCs w:val="24"/>
                <w:u w:val="single"/>
              </w:rPr>
              <w:t>Fees &amp; Charges schedules for Directorates:</w:t>
            </w:r>
          </w:p>
          <w:p w14:paraId="5E7A90B7" w14:textId="77777777" w:rsidR="00EB25BD" w:rsidRPr="00FC4BB6" w:rsidRDefault="00EB25BD" w:rsidP="00EB25BD">
            <w:pPr>
              <w:pStyle w:val="Infotext"/>
              <w:rPr>
                <w:sz w:val="24"/>
                <w:szCs w:val="24"/>
              </w:rPr>
            </w:pPr>
            <w:r w:rsidRPr="00FC4BB6">
              <w:rPr>
                <w:sz w:val="24"/>
                <w:szCs w:val="24"/>
              </w:rPr>
              <w:t xml:space="preserve">Appendix 2: Community </w:t>
            </w:r>
          </w:p>
          <w:p w14:paraId="1F0EAE4D" w14:textId="77777777" w:rsidR="00EB25BD" w:rsidRPr="00FC4BB6" w:rsidRDefault="00EB25BD" w:rsidP="00EB25BD">
            <w:pPr>
              <w:pStyle w:val="Infotext"/>
              <w:rPr>
                <w:sz w:val="24"/>
                <w:szCs w:val="24"/>
              </w:rPr>
            </w:pPr>
            <w:r w:rsidRPr="00FC4BB6">
              <w:rPr>
                <w:sz w:val="24"/>
                <w:szCs w:val="24"/>
              </w:rPr>
              <w:t xml:space="preserve">Appendix 3: Resources </w:t>
            </w:r>
          </w:p>
          <w:p w14:paraId="11417014" w14:textId="77777777" w:rsidR="00EB25BD" w:rsidRPr="00E11D4F" w:rsidRDefault="00EB25BD" w:rsidP="00EB25BD">
            <w:pPr>
              <w:pStyle w:val="Infotext"/>
              <w:rPr>
                <w:sz w:val="24"/>
                <w:szCs w:val="24"/>
              </w:rPr>
            </w:pPr>
            <w:r w:rsidRPr="00FC4BB6">
              <w:rPr>
                <w:sz w:val="24"/>
                <w:szCs w:val="24"/>
              </w:rPr>
              <w:t>Appendix 4: People’s (Adults and Children’s)</w:t>
            </w:r>
          </w:p>
          <w:p w14:paraId="09A95F69" w14:textId="53C1AC58" w:rsidR="00EB25BD" w:rsidRPr="005E3A10" w:rsidRDefault="00EB25BD" w:rsidP="00937C7D">
            <w:pPr>
              <w:pStyle w:val="Infotext"/>
              <w:rPr>
                <w:color w:val="FF0000"/>
                <w:sz w:val="24"/>
                <w:szCs w:val="24"/>
              </w:rPr>
            </w:pPr>
          </w:p>
        </w:tc>
      </w:tr>
    </w:tbl>
    <w:p w14:paraId="3BC65A7E" w14:textId="3241EAB5" w:rsidR="00EB25BD" w:rsidRDefault="00EB25BD"/>
    <w:p w14:paraId="038E9499" w14:textId="4E587BB7" w:rsidR="00EB25BD" w:rsidRDefault="00EB25BD"/>
    <w:p w14:paraId="338EF35F" w14:textId="77777777" w:rsidR="00EB25BD" w:rsidRDefault="00EB25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5200DF" w:rsidRPr="00734C10" w14:paraId="5D37B01A" w14:textId="77777777">
        <w:tc>
          <w:tcPr>
            <w:tcW w:w="8525" w:type="dxa"/>
            <w:tcBorders>
              <w:top w:val="nil"/>
              <w:left w:val="nil"/>
              <w:right w:val="nil"/>
            </w:tcBorders>
          </w:tcPr>
          <w:p w14:paraId="5E9B7EC5" w14:textId="77777777" w:rsidR="005200DF" w:rsidRPr="00734C10" w:rsidRDefault="005200DF" w:rsidP="005200DF">
            <w:pPr>
              <w:pStyle w:val="Heading1"/>
            </w:pPr>
            <w:r w:rsidRPr="00734C10">
              <w:lastRenderedPageBreak/>
              <w:t>Section 1 – Summary and Recommendations</w:t>
            </w:r>
          </w:p>
          <w:p w14:paraId="0E5B3CC9" w14:textId="77777777" w:rsidR="005200DF" w:rsidRPr="00734C10" w:rsidRDefault="005200DF"/>
        </w:tc>
      </w:tr>
      <w:tr w:rsidR="005441BD" w:rsidRPr="00734C10" w14:paraId="2368C365" w14:textId="77777777">
        <w:tc>
          <w:tcPr>
            <w:tcW w:w="8525" w:type="dxa"/>
          </w:tcPr>
          <w:p w14:paraId="3C6BC16B" w14:textId="2BB7FB6B" w:rsidR="005441BD" w:rsidRDefault="005441BD" w:rsidP="00B427A2">
            <w:pPr>
              <w:jc w:val="both"/>
            </w:pPr>
            <w:r w:rsidRPr="00734C10">
              <w:t>This report sets out</w:t>
            </w:r>
            <w:r w:rsidR="00091F43" w:rsidRPr="00734C10">
              <w:t xml:space="preserve"> the Council’s </w:t>
            </w:r>
            <w:r w:rsidR="00846115">
              <w:t xml:space="preserve">proposed </w:t>
            </w:r>
            <w:r w:rsidR="00091F43" w:rsidRPr="00734C10">
              <w:t xml:space="preserve">Fees &amp; Charges for the financial year </w:t>
            </w:r>
            <w:r w:rsidR="000F40AF" w:rsidRPr="00734C10">
              <w:t>20</w:t>
            </w:r>
            <w:r w:rsidR="000F40AF">
              <w:t>2</w:t>
            </w:r>
            <w:r w:rsidR="00E1168A">
              <w:t>2</w:t>
            </w:r>
            <w:r w:rsidR="0005505D">
              <w:t>/</w:t>
            </w:r>
            <w:r w:rsidR="00372596">
              <w:t>2</w:t>
            </w:r>
            <w:r w:rsidR="00E1168A">
              <w:t>3</w:t>
            </w:r>
            <w:r w:rsidR="00091F43" w:rsidRPr="00734C10">
              <w:t xml:space="preserve">.  </w:t>
            </w:r>
          </w:p>
          <w:p w14:paraId="0CE7F5E6" w14:textId="77777777" w:rsidR="00C106F9" w:rsidRPr="00734C10" w:rsidRDefault="00C106F9" w:rsidP="00B427A2">
            <w:pPr>
              <w:jc w:val="both"/>
            </w:pPr>
          </w:p>
          <w:p w14:paraId="39D12BBB" w14:textId="77777777" w:rsidR="005441BD" w:rsidRPr="00734C10" w:rsidRDefault="005441BD" w:rsidP="001D1F3B">
            <w:pPr>
              <w:pStyle w:val="Heading2"/>
              <w:jc w:val="both"/>
            </w:pPr>
            <w:r w:rsidRPr="00734C10">
              <w:t xml:space="preserve">Recommendations: </w:t>
            </w:r>
          </w:p>
          <w:p w14:paraId="28878119" w14:textId="77777777" w:rsidR="00091F43" w:rsidRPr="00734C10" w:rsidRDefault="00091F43" w:rsidP="001D1F3B">
            <w:pPr>
              <w:jc w:val="both"/>
            </w:pPr>
          </w:p>
          <w:p w14:paraId="71705F97" w14:textId="77777777" w:rsidR="005441BD" w:rsidRDefault="005441BD" w:rsidP="001D1F3B">
            <w:pPr>
              <w:jc w:val="both"/>
            </w:pPr>
            <w:r w:rsidRPr="00734C10">
              <w:t>Cabinet is requested to:</w:t>
            </w:r>
          </w:p>
          <w:p w14:paraId="7F1016F1" w14:textId="77777777" w:rsidR="00E52FAF" w:rsidRPr="00734C10" w:rsidRDefault="00E52FAF" w:rsidP="001D1F3B">
            <w:pPr>
              <w:jc w:val="both"/>
            </w:pPr>
          </w:p>
          <w:p w14:paraId="274D1BC1" w14:textId="51D0F8FB" w:rsidR="001B5E5C" w:rsidRPr="00EB1556" w:rsidRDefault="001B5E5C" w:rsidP="004F405A">
            <w:pPr>
              <w:pStyle w:val="PlainText"/>
              <w:numPr>
                <w:ilvl w:val="0"/>
                <w:numId w:val="78"/>
              </w:numPr>
              <w:jc w:val="both"/>
              <w:rPr>
                <w:sz w:val="24"/>
                <w:szCs w:val="24"/>
              </w:rPr>
            </w:pPr>
            <w:r w:rsidRPr="00D63F67">
              <w:rPr>
                <w:sz w:val="24"/>
                <w:szCs w:val="24"/>
              </w:rPr>
              <w:t xml:space="preserve">Agree the </w:t>
            </w:r>
            <w:r w:rsidR="0062515D" w:rsidRPr="00D63F67">
              <w:rPr>
                <w:sz w:val="24"/>
                <w:szCs w:val="24"/>
              </w:rPr>
              <w:t>F</w:t>
            </w:r>
            <w:r w:rsidRPr="00EB1556">
              <w:rPr>
                <w:sz w:val="24"/>
                <w:szCs w:val="24"/>
              </w:rPr>
              <w:t xml:space="preserve">ees &amp; Charges to be implemented from </w:t>
            </w:r>
            <w:r w:rsidR="001E4C14" w:rsidRPr="00EB1556">
              <w:rPr>
                <w:sz w:val="24"/>
                <w:szCs w:val="24"/>
              </w:rPr>
              <w:t>April 20</w:t>
            </w:r>
            <w:r w:rsidR="000F40AF" w:rsidRPr="00EB1556">
              <w:rPr>
                <w:sz w:val="24"/>
                <w:szCs w:val="24"/>
              </w:rPr>
              <w:t>2</w:t>
            </w:r>
            <w:r w:rsidR="00E1168A">
              <w:rPr>
                <w:sz w:val="24"/>
                <w:szCs w:val="24"/>
              </w:rPr>
              <w:t>2</w:t>
            </w:r>
            <w:r w:rsidR="0062515D" w:rsidRPr="00EB1556">
              <w:rPr>
                <w:sz w:val="24"/>
                <w:szCs w:val="24"/>
              </w:rPr>
              <w:t xml:space="preserve"> (Appendices </w:t>
            </w:r>
            <w:r w:rsidR="00D47A30" w:rsidRPr="00EB1556">
              <w:rPr>
                <w:sz w:val="24"/>
                <w:szCs w:val="24"/>
              </w:rPr>
              <w:t xml:space="preserve">2 to </w:t>
            </w:r>
            <w:r w:rsidR="00C106F9" w:rsidRPr="00EB1556">
              <w:rPr>
                <w:sz w:val="24"/>
                <w:szCs w:val="24"/>
              </w:rPr>
              <w:t>4</w:t>
            </w:r>
            <w:r w:rsidR="0062515D" w:rsidRPr="00EB1556">
              <w:rPr>
                <w:sz w:val="24"/>
                <w:szCs w:val="24"/>
              </w:rPr>
              <w:t>)</w:t>
            </w:r>
            <w:r w:rsidR="00C207AF" w:rsidRPr="00EB1556">
              <w:rPr>
                <w:sz w:val="24"/>
                <w:szCs w:val="24"/>
              </w:rPr>
              <w:t xml:space="preserve">, except those fees and charges </w:t>
            </w:r>
            <w:r w:rsidR="00343CAA" w:rsidRPr="00EB1556">
              <w:rPr>
                <w:sz w:val="24"/>
                <w:szCs w:val="24"/>
              </w:rPr>
              <w:t xml:space="preserve">marked </w:t>
            </w:r>
            <w:r w:rsidR="00B61CCD" w:rsidRPr="00EB1556">
              <w:rPr>
                <w:sz w:val="24"/>
                <w:szCs w:val="24"/>
              </w:rPr>
              <w:t>‘</w:t>
            </w:r>
            <w:r w:rsidR="00F429CF" w:rsidRPr="00EB1556">
              <w:rPr>
                <w:sz w:val="24"/>
                <w:szCs w:val="24"/>
              </w:rPr>
              <w:t xml:space="preserve">Statutory prescribed’ or ‘for noting only – </w:t>
            </w:r>
            <w:r w:rsidR="00EB25BD" w:rsidRPr="00EB1556">
              <w:rPr>
                <w:sz w:val="24"/>
                <w:szCs w:val="24"/>
              </w:rPr>
              <w:t>no</w:t>
            </w:r>
            <w:r w:rsidR="00EB25BD">
              <w:rPr>
                <w:sz w:val="24"/>
                <w:szCs w:val="24"/>
              </w:rPr>
              <w:t>n</w:t>
            </w:r>
            <w:r w:rsidR="00EB25BD" w:rsidRPr="00D63F67">
              <w:rPr>
                <w:sz w:val="24"/>
                <w:szCs w:val="24"/>
              </w:rPr>
              <w:t>-Cabinet</w:t>
            </w:r>
            <w:r w:rsidR="00F429CF" w:rsidRPr="00D63F67">
              <w:rPr>
                <w:sz w:val="24"/>
                <w:szCs w:val="24"/>
              </w:rPr>
              <w:t xml:space="preserve"> approval’</w:t>
            </w:r>
            <w:r w:rsidR="00CD66A4" w:rsidRPr="00EB1556">
              <w:rPr>
                <w:sz w:val="24"/>
                <w:szCs w:val="24"/>
              </w:rPr>
              <w:t>.</w:t>
            </w:r>
            <w:r w:rsidRPr="00EB1556">
              <w:rPr>
                <w:sz w:val="24"/>
                <w:szCs w:val="24"/>
              </w:rPr>
              <w:t xml:space="preserve"> </w:t>
            </w:r>
          </w:p>
          <w:p w14:paraId="542E8CDC" w14:textId="77777777" w:rsidR="00F429CF" w:rsidRDefault="00F429CF" w:rsidP="004F405A">
            <w:pPr>
              <w:pStyle w:val="PlainText"/>
              <w:ind w:left="735"/>
              <w:jc w:val="both"/>
              <w:rPr>
                <w:sz w:val="24"/>
                <w:szCs w:val="24"/>
              </w:rPr>
            </w:pPr>
          </w:p>
          <w:p w14:paraId="18DEB448" w14:textId="073876CF" w:rsidR="00F429CF" w:rsidRPr="00E11D4F" w:rsidRDefault="00F429CF" w:rsidP="004F405A">
            <w:pPr>
              <w:pStyle w:val="PlainText"/>
              <w:numPr>
                <w:ilvl w:val="0"/>
                <w:numId w:val="78"/>
              </w:numPr>
              <w:jc w:val="both"/>
              <w:rPr>
                <w:sz w:val="24"/>
                <w:szCs w:val="24"/>
              </w:rPr>
            </w:pPr>
            <w:r>
              <w:rPr>
                <w:sz w:val="24"/>
                <w:szCs w:val="24"/>
              </w:rPr>
              <w:t>Delegate authority</w:t>
            </w:r>
            <w:r w:rsidR="000A6843">
              <w:rPr>
                <w:sz w:val="24"/>
                <w:szCs w:val="24"/>
              </w:rPr>
              <w:t xml:space="preserve"> to the Director of Finance</w:t>
            </w:r>
            <w:r w:rsidR="00A03CA0">
              <w:rPr>
                <w:sz w:val="24"/>
                <w:szCs w:val="24"/>
              </w:rPr>
              <w:t xml:space="preserve"> and Assurance</w:t>
            </w:r>
            <w:r w:rsidR="000A6843">
              <w:rPr>
                <w:sz w:val="24"/>
                <w:szCs w:val="24"/>
              </w:rPr>
              <w:t xml:space="preserve">, to amend </w:t>
            </w:r>
            <w:r w:rsidR="00660BEE">
              <w:rPr>
                <w:sz w:val="24"/>
                <w:szCs w:val="24"/>
              </w:rPr>
              <w:t xml:space="preserve">the </w:t>
            </w:r>
            <w:r w:rsidR="000A6843">
              <w:rPr>
                <w:sz w:val="24"/>
                <w:szCs w:val="24"/>
              </w:rPr>
              <w:t>fees and charges in year and agree new fees and charges</w:t>
            </w:r>
            <w:r w:rsidR="00D34E8B">
              <w:rPr>
                <w:sz w:val="24"/>
                <w:szCs w:val="24"/>
              </w:rPr>
              <w:t xml:space="preserve">, </w:t>
            </w:r>
            <w:r w:rsidR="00660BEE">
              <w:rPr>
                <w:sz w:val="24"/>
                <w:szCs w:val="24"/>
              </w:rPr>
              <w:t xml:space="preserve">following </w:t>
            </w:r>
            <w:r w:rsidR="00D34E8B">
              <w:rPr>
                <w:sz w:val="24"/>
                <w:szCs w:val="24"/>
              </w:rPr>
              <w:t>con</w:t>
            </w:r>
            <w:r w:rsidR="00223FB8">
              <w:rPr>
                <w:sz w:val="24"/>
                <w:szCs w:val="24"/>
              </w:rPr>
              <w:t>sultation</w:t>
            </w:r>
            <w:r w:rsidR="00D34E8B">
              <w:rPr>
                <w:sz w:val="24"/>
                <w:szCs w:val="24"/>
              </w:rPr>
              <w:t xml:space="preserve"> with relevant Corporate Director</w:t>
            </w:r>
            <w:r w:rsidR="000406FB">
              <w:rPr>
                <w:sz w:val="24"/>
                <w:szCs w:val="24"/>
              </w:rPr>
              <w:t>(</w:t>
            </w:r>
            <w:r w:rsidR="00D34E8B">
              <w:rPr>
                <w:sz w:val="24"/>
                <w:szCs w:val="24"/>
              </w:rPr>
              <w:t>s</w:t>
            </w:r>
            <w:r w:rsidR="000406FB">
              <w:rPr>
                <w:sz w:val="24"/>
                <w:szCs w:val="24"/>
              </w:rPr>
              <w:t>)</w:t>
            </w:r>
            <w:r w:rsidR="00D34E8B">
              <w:rPr>
                <w:sz w:val="24"/>
                <w:szCs w:val="24"/>
              </w:rPr>
              <w:t xml:space="preserve"> and </w:t>
            </w:r>
            <w:r w:rsidR="00215ED8">
              <w:rPr>
                <w:sz w:val="24"/>
                <w:szCs w:val="24"/>
              </w:rPr>
              <w:t xml:space="preserve">approval of relevant </w:t>
            </w:r>
            <w:r w:rsidR="00D34E8B">
              <w:rPr>
                <w:sz w:val="24"/>
                <w:szCs w:val="24"/>
              </w:rPr>
              <w:t>Portfolio Holders.</w:t>
            </w:r>
          </w:p>
          <w:p w14:paraId="32B6F843" w14:textId="77777777" w:rsidR="00E11D4F" w:rsidRDefault="00D75608" w:rsidP="001D1F3B">
            <w:pPr>
              <w:pStyle w:val="PlainText"/>
              <w:jc w:val="both"/>
              <w:rPr>
                <w:sz w:val="24"/>
                <w:szCs w:val="24"/>
              </w:rPr>
            </w:pPr>
            <w:r>
              <w:rPr>
                <w:sz w:val="24"/>
                <w:szCs w:val="24"/>
              </w:rPr>
              <w:t xml:space="preserve"> </w:t>
            </w:r>
          </w:p>
          <w:p w14:paraId="305EEE78" w14:textId="77777777" w:rsidR="00E11D4F" w:rsidRDefault="00E11D4F" w:rsidP="001D1F3B">
            <w:pPr>
              <w:pStyle w:val="PlainText"/>
              <w:jc w:val="both"/>
              <w:rPr>
                <w:b/>
                <w:sz w:val="24"/>
                <w:szCs w:val="24"/>
              </w:rPr>
            </w:pPr>
            <w:r w:rsidRPr="00E11D4F">
              <w:rPr>
                <w:b/>
                <w:sz w:val="24"/>
                <w:szCs w:val="24"/>
              </w:rPr>
              <w:t>Reason: (For recommendation)</w:t>
            </w:r>
          </w:p>
          <w:p w14:paraId="44EF3A0D" w14:textId="232383C2" w:rsidR="00313B1F" w:rsidRDefault="00487E1A" w:rsidP="000F40AF">
            <w:pPr>
              <w:jc w:val="both"/>
            </w:pPr>
            <w:r>
              <w:t>T</w:t>
            </w:r>
            <w:r w:rsidR="00B427A2">
              <w:t>o</w:t>
            </w:r>
            <w:r>
              <w:t xml:space="preserve"> </w:t>
            </w:r>
            <w:r w:rsidR="00B427A2">
              <w:t xml:space="preserve">ensure the </w:t>
            </w:r>
            <w:r>
              <w:t xml:space="preserve">Council </w:t>
            </w:r>
            <w:r w:rsidR="00B427A2">
              <w:t>set</w:t>
            </w:r>
            <w:r w:rsidR="00674531">
              <w:t>s</w:t>
            </w:r>
            <w:r w:rsidR="00B427A2">
              <w:t xml:space="preserve"> a schedule of fees and charges for 20</w:t>
            </w:r>
            <w:r w:rsidR="000F40AF">
              <w:t>2</w:t>
            </w:r>
            <w:r w:rsidR="00E1168A">
              <w:t>2</w:t>
            </w:r>
            <w:r w:rsidR="0005505D">
              <w:t>/</w:t>
            </w:r>
            <w:r w:rsidR="00372596">
              <w:t>2</w:t>
            </w:r>
            <w:r w:rsidR="00E1168A">
              <w:t>3</w:t>
            </w:r>
            <w:r w:rsidR="00B427A2">
              <w:t xml:space="preserve">. </w:t>
            </w:r>
          </w:p>
          <w:p w14:paraId="2892D100" w14:textId="77777777" w:rsidR="00204FF7" w:rsidRPr="00487E1A" w:rsidRDefault="00204FF7" w:rsidP="000F40AF">
            <w:pPr>
              <w:jc w:val="both"/>
            </w:pPr>
          </w:p>
        </w:tc>
        <w:bookmarkStart w:id="0" w:name="_GoBack"/>
        <w:bookmarkEnd w:id="0"/>
      </w:tr>
    </w:tbl>
    <w:p w14:paraId="051CBDBB" w14:textId="77777777" w:rsidR="005C1159" w:rsidRPr="00734C10" w:rsidRDefault="005C1159" w:rsidP="00EB25BD">
      <w:pPr>
        <w:pStyle w:val="Heading1"/>
        <w:rPr>
          <w:sz w:val="28"/>
        </w:rPr>
        <w:sectPr w:rsidR="005C1159" w:rsidRPr="00734C10" w:rsidSect="00944E73">
          <w:footerReference w:type="default" r:id="rId9"/>
          <w:type w:val="continuous"/>
          <w:pgSz w:w="11909" w:h="16834" w:code="9"/>
          <w:pgMar w:top="794" w:right="1077" w:bottom="1021" w:left="1077" w:header="1009" w:footer="431" w:gutter="0"/>
          <w:cols w:space="720"/>
          <w:titlePg/>
          <w:docGrid w:linePitch="360"/>
        </w:sectPr>
      </w:pPr>
    </w:p>
    <w:p w14:paraId="420FAC79" w14:textId="77777777" w:rsidR="005441BD" w:rsidRPr="00734C10" w:rsidRDefault="005441BD">
      <w:pPr>
        <w:pStyle w:val="Heading1"/>
        <w:jc w:val="both"/>
      </w:pPr>
      <w:r w:rsidRPr="00734C10">
        <w:t>Section 2 – Report</w:t>
      </w:r>
    </w:p>
    <w:p w14:paraId="6E587240" w14:textId="77777777" w:rsidR="005441BD" w:rsidRPr="00734C10" w:rsidRDefault="005441BD"/>
    <w:p w14:paraId="5223E85A" w14:textId="11D7C09D" w:rsidR="005441BD" w:rsidRDefault="005441BD" w:rsidP="001D1F3B">
      <w:pPr>
        <w:pStyle w:val="Heading2"/>
        <w:jc w:val="both"/>
      </w:pPr>
      <w:r w:rsidRPr="00734C10">
        <w:t>Introduct</w:t>
      </w:r>
      <w:r w:rsidR="00AA75AD">
        <w:t>ion</w:t>
      </w:r>
      <w:r w:rsidRPr="00734C10">
        <w:t xml:space="preserve"> </w:t>
      </w:r>
    </w:p>
    <w:p w14:paraId="1D04F2B9" w14:textId="77777777" w:rsidR="00EB25BD" w:rsidRPr="00EB25BD" w:rsidRDefault="00EB25BD" w:rsidP="00EB25BD"/>
    <w:p w14:paraId="46959C23" w14:textId="703DEC69" w:rsidR="00160A26" w:rsidRDefault="003F60F5" w:rsidP="007024F1">
      <w:pPr>
        <w:pStyle w:val="ListParagraph"/>
        <w:numPr>
          <w:ilvl w:val="0"/>
          <w:numId w:val="63"/>
        </w:numPr>
        <w:spacing w:after="240"/>
        <w:jc w:val="both"/>
      </w:pPr>
      <w:r>
        <w:t>This re</w:t>
      </w:r>
      <w:r w:rsidR="00B96AFF">
        <w:t>port sets out the Fees &amp; Charges</w:t>
      </w:r>
      <w:r>
        <w:t xml:space="preserve"> that </w:t>
      </w:r>
      <w:r w:rsidR="00FA1DCA">
        <w:t>are proposed to</w:t>
      </w:r>
      <w:r>
        <w:t xml:space="preserve"> be applied to services for the year 20</w:t>
      </w:r>
      <w:r w:rsidR="000F40AF">
        <w:t>2</w:t>
      </w:r>
      <w:r w:rsidR="00E1168A">
        <w:t>2</w:t>
      </w:r>
      <w:r w:rsidR="0005505D">
        <w:t>/</w:t>
      </w:r>
      <w:r w:rsidR="00372596">
        <w:t>2</w:t>
      </w:r>
      <w:r w:rsidR="00E1168A">
        <w:t>3</w:t>
      </w:r>
      <w:r w:rsidR="00B96AFF">
        <w:t xml:space="preserve">.  </w:t>
      </w:r>
      <w:r w:rsidR="00B427A2">
        <w:t xml:space="preserve">This report asks Cabinet to delegate authority to the Director of </w:t>
      </w:r>
      <w:r w:rsidR="00777A64">
        <w:t>Finance</w:t>
      </w:r>
      <w:r w:rsidR="00EA111D">
        <w:t xml:space="preserve"> and Assurance</w:t>
      </w:r>
      <w:r w:rsidR="00B427A2">
        <w:t>, to amend fees and charges in year</w:t>
      </w:r>
      <w:r w:rsidR="00D34E8B">
        <w:t>, in consultation with</w:t>
      </w:r>
      <w:r w:rsidR="00D34E8B" w:rsidRPr="00D34E8B">
        <w:t xml:space="preserve"> </w:t>
      </w:r>
      <w:r w:rsidR="00D34E8B">
        <w:t>relevant Corporate Directors</w:t>
      </w:r>
      <w:r w:rsidR="00B4022E">
        <w:t xml:space="preserve"> and</w:t>
      </w:r>
      <w:r w:rsidR="00D34E8B">
        <w:t xml:space="preserve"> the relevant Portfolio Holders.</w:t>
      </w:r>
    </w:p>
    <w:p w14:paraId="7493C394" w14:textId="77777777" w:rsidR="00DC2A9E" w:rsidRPr="00BF394D" w:rsidRDefault="004E0929" w:rsidP="007024F1">
      <w:pPr>
        <w:pStyle w:val="ListParagraph"/>
        <w:numPr>
          <w:ilvl w:val="0"/>
          <w:numId w:val="63"/>
        </w:numPr>
        <w:spacing w:after="240"/>
        <w:jc w:val="both"/>
      </w:pPr>
      <w:r>
        <w:t>Fees and char</w:t>
      </w:r>
      <w:r w:rsidR="004E72FA">
        <w:t>ges</w:t>
      </w:r>
      <w:r w:rsidR="003B360E">
        <w:t xml:space="preserve"> </w:t>
      </w:r>
      <w:r w:rsidR="00DC2A9E">
        <w:t>generat</w:t>
      </w:r>
      <w:r w:rsidR="003B360E">
        <w:t>e</w:t>
      </w:r>
      <w:r w:rsidR="00DC2A9E">
        <w:t xml:space="preserve"> </w:t>
      </w:r>
      <w:r w:rsidR="000F40AF">
        <w:t xml:space="preserve">significant income for the Council each year </w:t>
      </w:r>
      <w:r w:rsidR="00FB3561">
        <w:t xml:space="preserve">and </w:t>
      </w:r>
      <w:r w:rsidR="007F33A5">
        <w:t>provide</w:t>
      </w:r>
      <w:r w:rsidR="00FB3561">
        <w:t xml:space="preserve"> significant funding support to the provision of those services that are charged for</w:t>
      </w:r>
      <w:r w:rsidR="00695C87">
        <w:t xml:space="preserve">. </w:t>
      </w:r>
      <w:r w:rsidR="00DC2A9E">
        <w:t xml:space="preserve"> Charges are set</w:t>
      </w:r>
      <w:r w:rsidR="00FB62BC">
        <w:t xml:space="preserve"> broadly</w:t>
      </w:r>
      <w:r w:rsidR="00DC2A9E">
        <w:t xml:space="preserve"> </w:t>
      </w:r>
      <w:r w:rsidR="00BF394D">
        <w:t xml:space="preserve">within the framework of the </w:t>
      </w:r>
      <w:r w:rsidR="00204FF7">
        <w:t>Medium-Term</w:t>
      </w:r>
      <w:r w:rsidR="00BF394D">
        <w:t xml:space="preserve"> Financial Strategy (MTFS)</w:t>
      </w:r>
      <w:r w:rsidR="00FB3561">
        <w:t xml:space="preserve">, </w:t>
      </w:r>
      <w:r w:rsidR="00BF394D">
        <w:t>the Charging Policy</w:t>
      </w:r>
      <w:r w:rsidR="00FB3561">
        <w:t xml:space="preserve"> and in accordance with legislative requirements</w:t>
      </w:r>
      <w:r w:rsidR="003A6A24">
        <w:t>.</w:t>
      </w:r>
      <w:r w:rsidR="00DC2A9E">
        <w:t xml:space="preserve"> </w:t>
      </w:r>
    </w:p>
    <w:p w14:paraId="63C2EEF0" w14:textId="77777777" w:rsidR="003E7FED" w:rsidRPr="00777A64" w:rsidRDefault="003F60F5" w:rsidP="007024F1">
      <w:pPr>
        <w:pStyle w:val="ListParagraph"/>
        <w:numPr>
          <w:ilvl w:val="0"/>
          <w:numId w:val="63"/>
        </w:numPr>
        <w:spacing w:after="240"/>
        <w:jc w:val="both"/>
        <w:rPr>
          <w:b/>
        </w:rPr>
      </w:pPr>
      <w:r w:rsidRPr="00BF394D">
        <w:t>Th</w:t>
      </w:r>
      <w:r w:rsidR="004B7CCA">
        <w:t>is</w:t>
      </w:r>
      <w:r w:rsidRPr="00BF394D">
        <w:t xml:space="preserve"> report pr</w:t>
      </w:r>
      <w:r w:rsidR="00FA1DCA" w:rsidRPr="00BF394D">
        <w:t xml:space="preserve">ovides the charging details of </w:t>
      </w:r>
      <w:r w:rsidR="00AB521F">
        <w:t>C</w:t>
      </w:r>
      <w:r w:rsidRPr="00BF394D">
        <w:t>ouncil services</w:t>
      </w:r>
      <w:r w:rsidR="001D1F3B">
        <w:t>.  T</w:t>
      </w:r>
      <w:r w:rsidRPr="00BF394D">
        <w:t>he policy background to charging</w:t>
      </w:r>
      <w:r w:rsidR="00BF394D">
        <w:t xml:space="preserve">, </w:t>
      </w:r>
      <w:r w:rsidR="00204FF7">
        <w:t>(</w:t>
      </w:r>
      <w:r w:rsidR="00BF394D">
        <w:t>the Councils Charging Policy</w:t>
      </w:r>
      <w:r w:rsidR="00204FF7">
        <w:t>)</w:t>
      </w:r>
      <w:r w:rsidR="00BF394D">
        <w:t xml:space="preserve">, </w:t>
      </w:r>
      <w:r w:rsidR="00ED60E9">
        <w:t>is included a</w:t>
      </w:r>
      <w:r w:rsidR="00D06977">
        <w:t>t</w:t>
      </w:r>
      <w:r w:rsidR="00ED60E9">
        <w:t xml:space="preserve"> Appendix 1.</w:t>
      </w:r>
      <w:r w:rsidR="00BF394D">
        <w:t xml:space="preserve">  </w:t>
      </w:r>
      <w:r w:rsidRPr="00BF394D">
        <w:t xml:space="preserve"> </w:t>
      </w:r>
    </w:p>
    <w:p w14:paraId="485555DD" w14:textId="58EC87AE" w:rsidR="00E90A8E" w:rsidRDefault="00E90A8E" w:rsidP="003B2BCA">
      <w:pPr>
        <w:pStyle w:val="Heading2"/>
        <w:jc w:val="both"/>
      </w:pPr>
      <w:r w:rsidRPr="00777A64">
        <w:t>Options Considered</w:t>
      </w:r>
    </w:p>
    <w:p w14:paraId="051DF788" w14:textId="77777777" w:rsidR="00EB25BD" w:rsidRPr="00EB25BD" w:rsidRDefault="00EB25BD" w:rsidP="00EB25BD"/>
    <w:p w14:paraId="494402D9" w14:textId="77777777" w:rsidR="00EB25BD" w:rsidRDefault="00D46A25" w:rsidP="007024F1">
      <w:pPr>
        <w:pStyle w:val="ListParagraph"/>
        <w:numPr>
          <w:ilvl w:val="0"/>
          <w:numId w:val="63"/>
        </w:numPr>
        <w:spacing w:after="240"/>
        <w:jc w:val="both"/>
      </w:pPr>
      <w:r>
        <w:t>The</w:t>
      </w:r>
      <w:r w:rsidRPr="00D46A25">
        <w:t xml:space="preserve"> </w:t>
      </w:r>
      <w:r w:rsidR="00D34E8B">
        <w:t>Financial Regulation</w:t>
      </w:r>
      <w:r w:rsidR="00C6172D">
        <w:t>s in the Council’s Constitution</w:t>
      </w:r>
      <w:r w:rsidR="00D34E8B">
        <w:t xml:space="preserve"> state that Directors are responsible for ensuring that there is, as a minimum, an annual review of fees and </w:t>
      </w:r>
      <w:r w:rsidRPr="00D46A25">
        <w:t xml:space="preserve">charges </w:t>
      </w:r>
      <w:r w:rsidR="00C6172D">
        <w:t>(</w:t>
      </w:r>
      <w:r w:rsidRPr="00D46A25">
        <w:t>for the forthcoming financial year</w:t>
      </w:r>
      <w:r w:rsidR="00C6172D">
        <w:t>)</w:t>
      </w:r>
      <w:r w:rsidR="00255F52">
        <w:t xml:space="preserve"> and an in depth one on a three-year rolling basis</w:t>
      </w:r>
      <w:r w:rsidR="00D34E8B">
        <w:t xml:space="preserve">.  </w:t>
      </w:r>
      <w:r w:rsidR="00C6172D">
        <w:t>The options are to review and set the charges for the forthcoming finan</w:t>
      </w:r>
      <w:r w:rsidR="00C3403D">
        <w:t>cial</w:t>
      </w:r>
      <w:r w:rsidR="00C6172D">
        <w:t xml:space="preserve"> year or</w:t>
      </w:r>
      <w:r w:rsidR="00C3403D">
        <w:t>,</w:t>
      </w:r>
      <w:r w:rsidR="00C6172D">
        <w:t xml:space="preserve"> to not do so</w:t>
      </w:r>
      <w:r w:rsidR="00C3403D">
        <w:t xml:space="preserve">, but given that the council should set </w:t>
      </w:r>
      <w:r w:rsidR="009C79F8">
        <w:t>its</w:t>
      </w:r>
      <w:r w:rsidR="00C3403D">
        <w:t xml:space="preserve"> charges for implementation for each year</w:t>
      </w:r>
      <w:r w:rsidR="004A67A8">
        <w:t xml:space="preserve"> (and seek to recover its costs)</w:t>
      </w:r>
      <w:r w:rsidR="00C3403D">
        <w:t>, the latter is not really an option</w:t>
      </w:r>
      <w:r w:rsidR="00D34E8B">
        <w:t>.</w:t>
      </w:r>
      <w:r w:rsidR="004A67A8">
        <w:t xml:space="preserve"> </w:t>
      </w:r>
      <w:r w:rsidRPr="00D46A25">
        <w:t xml:space="preserve"> </w:t>
      </w:r>
      <w:r>
        <w:t xml:space="preserve">   </w:t>
      </w:r>
    </w:p>
    <w:p w14:paraId="0CCBCF9D" w14:textId="69ADBD4C" w:rsidR="00E90A8E" w:rsidRPr="00E90A8E" w:rsidRDefault="00D46A25" w:rsidP="00EB25BD">
      <w:pPr>
        <w:pStyle w:val="ListParagraph"/>
        <w:spacing w:after="240"/>
        <w:ind w:left="360"/>
        <w:jc w:val="both"/>
      </w:pPr>
      <w:r>
        <w:lastRenderedPageBreak/>
        <w:t xml:space="preserve"> </w:t>
      </w:r>
    </w:p>
    <w:p w14:paraId="01E862BA" w14:textId="03BEEBD1" w:rsidR="008560FA" w:rsidRDefault="008560FA" w:rsidP="001D1F3B">
      <w:pPr>
        <w:pStyle w:val="Heading2"/>
        <w:jc w:val="both"/>
      </w:pPr>
      <w:r w:rsidRPr="00734C10">
        <w:t xml:space="preserve">Background to Fees &amp; Charges </w:t>
      </w:r>
    </w:p>
    <w:p w14:paraId="4E6963F4" w14:textId="77777777" w:rsidR="00EB25BD" w:rsidRPr="00EB25BD" w:rsidRDefault="00EB25BD" w:rsidP="00EB25BD"/>
    <w:p w14:paraId="4B201EE2" w14:textId="77777777" w:rsidR="005F28F7" w:rsidRPr="00734C10" w:rsidRDefault="00AA75AD" w:rsidP="00777A64">
      <w:pPr>
        <w:pStyle w:val="ListParagraph"/>
        <w:numPr>
          <w:ilvl w:val="0"/>
          <w:numId w:val="63"/>
        </w:numPr>
      </w:pPr>
      <w:r w:rsidRPr="000779E5">
        <w:t>H</w:t>
      </w:r>
      <w:r w:rsidR="006F0F0E" w:rsidRPr="000779E5">
        <w:t>arrow Council receives income through a wide variety of sources that</w:t>
      </w:r>
      <w:r w:rsidR="006F0F0E" w:rsidRPr="00734C10">
        <w:t xml:space="preserve"> are summarised as </w:t>
      </w:r>
      <w:r w:rsidR="00274943" w:rsidRPr="00734C10">
        <w:t>the following</w:t>
      </w:r>
      <w:r w:rsidR="006F0F0E" w:rsidRPr="00734C10">
        <w:t>:</w:t>
      </w:r>
    </w:p>
    <w:p w14:paraId="2A4DAF7A" w14:textId="77777777" w:rsidR="0091383D" w:rsidRPr="00734C10" w:rsidRDefault="0091383D" w:rsidP="001D1F3B">
      <w:pPr>
        <w:tabs>
          <w:tab w:val="num" w:pos="561"/>
        </w:tabs>
        <w:ind w:left="561" w:hanging="561"/>
        <w:jc w:val="both"/>
      </w:pPr>
    </w:p>
    <w:p w14:paraId="0151B0F8" w14:textId="77777777" w:rsidR="005F28F7" w:rsidRPr="00734C10" w:rsidRDefault="006F0F0E" w:rsidP="00777A64">
      <w:pPr>
        <w:pStyle w:val="ListParagraph"/>
        <w:numPr>
          <w:ilvl w:val="0"/>
          <w:numId w:val="62"/>
        </w:numPr>
        <w:jc w:val="both"/>
      </w:pPr>
      <w:r w:rsidRPr="00734C10">
        <w:t xml:space="preserve">Grants from Central Government &amp; other sources </w:t>
      </w:r>
    </w:p>
    <w:p w14:paraId="35FEBECF" w14:textId="77777777" w:rsidR="005F28F7" w:rsidRPr="00734C10" w:rsidRDefault="00BB7687" w:rsidP="00777A64">
      <w:pPr>
        <w:pStyle w:val="ListParagraph"/>
        <w:numPr>
          <w:ilvl w:val="0"/>
          <w:numId w:val="62"/>
        </w:numPr>
        <w:jc w:val="both"/>
      </w:pPr>
      <w:r>
        <w:t xml:space="preserve">Council Tax and National </w:t>
      </w:r>
      <w:r w:rsidR="00EA111D">
        <w:t>Non-Domestic</w:t>
      </w:r>
      <w:r>
        <w:t xml:space="preserve"> Rates </w:t>
      </w:r>
    </w:p>
    <w:p w14:paraId="08EAE531" w14:textId="77777777" w:rsidR="005F28F7" w:rsidRPr="00734C10" w:rsidRDefault="006F0F0E" w:rsidP="00777A64">
      <w:pPr>
        <w:pStyle w:val="ListParagraph"/>
        <w:numPr>
          <w:ilvl w:val="0"/>
          <w:numId w:val="62"/>
        </w:numPr>
        <w:spacing w:after="240"/>
        <w:jc w:val="both"/>
      </w:pPr>
      <w:r w:rsidRPr="00734C10">
        <w:t xml:space="preserve">Fees &amp; Charges </w:t>
      </w:r>
    </w:p>
    <w:p w14:paraId="36674D83" w14:textId="77777777" w:rsidR="00BB7687" w:rsidRDefault="00BB7687" w:rsidP="007024F1">
      <w:pPr>
        <w:pStyle w:val="ListParagraph"/>
        <w:numPr>
          <w:ilvl w:val="0"/>
          <w:numId w:val="63"/>
        </w:numPr>
        <w:jc w:val="both"/>
      </w:pPr>
      <w:r>
        <w:t>Councils are involved in a wide range of services and the ability to charge for some of these services has always been a key funding source</w:t>
      </w:r>
      <w:r w:rsidR="00FB3561">
        <w:t xml:space="preserve"> to support the cost of providing the service</w:t>
      </w:r>
      <w:r>
        <w:t xml:space="preserve">.   </w:t>
      </w:r>
    </w:p>
    <w:p w14:paraId="341563B9" w14:textId="77777777" w:rsidR="00BB7687" w:rsidRDefault="00BB7687" w:rsidP="001150E5">
      <w:pPr>
        <w:ind w:hanging="360"/>
      </w:pPr>
    </w:p>
    <w:p w14:paraId="339F6E79" w14:textId="77777777" w:rsidR="00BB7687" w:rsidRDefault="00BB7687" w:rsidP="007024F1">
      <w:pPr>
        <w:pStyle w:val="ListParagraph"/>
        <w:numPr>
          <w:ilvl w:val="0"/>
          <w:numId w:val="63"/>
        </w:numPr>
        <w:jc w:val="both"/>
      </w:pPr>
      <w:r>
        <w:t xml:space="preserve">The </w:t>
      </w:r>
      <w:r w:rsidR="001601BC">
        <w:t>Council provides</w:t>
      </w:r>
      <w:r>
        <w:t xml:space="preserve"> both statutory and discretionary </w:t>
      </w:r>
      <w:r w:rsidR="001601BC">
        <w:t xml:space="preserve">chargeable </w:t>
      </w:r>
      <w:r>
        <w:t>services</w:t>
      </w:r>
      <w:r w:rsidR="00DB00DE">
        <w:t>. W</w:t>
      </w:r>
      <w:r>
        <w:t>here fe</w:t>
      </w:r>
      <w:r w:rsidR="00DB00DE">
        <w:t xml:space="preserve">es and charges apply to statutory services these are often set nationally, for example </w:t>
      </w:r>
      <w:r w:rsidR="00695C87">
        <w:t xml:space="preserve">some </w:t>
      </w:r>
      <w:r w:rsidR="00DB00DE">
        <w:t xml:space="preserve">planning </w:t>
      </w:r>
      <w:r w:rsidR="00E0147A">
        <w:t>and licensing fees</w:t>
      </w:r>
      <w:r w:rsidR="00DB00DE">
        <w:t xml:space="preserve">.  The majority of </w:t>
      </w:r>
      <w:r w:rsidR="00AF4432">
        <w:t>statutory services</w:t>
      </w:r>
      <w:r w:rsidR="00695C87">
        <w:t xml:space="preserve">, </w:t>
      </w:r>
      <w:r w:rsidR="00287F83">
        <w:t>Building Control being a notable exception</w:t>
      </w:r>
      <w:r w:rsidR="00695C87">
        <w:t xml:space="preserve">, </w:t>
      </w:r>
      <w:r w:rsidR="00DB00DE">
        <w:t>are not funded directly from fees and charges but instead from the Council’s other main sources of revenue, i.e</w:t>
      </w:r>
      <w:r w:rsidR="009C0212">
        <w:t>.</w:t>
      </w:r>
      <w:r w:rsidR="00DB00DE">
        <w:t xml:space="preserve"> government grants and local taxation.  Examples of services funded in this way include Highways</w:t>
      </w:r>
      <w:r w:rsidR="00AF4432">
        <w:t>, Children’s</w:t>
      </w:r>
      <w:r w:rsidR="00DB00DE">
        <w:t xml:space="preserve"> Services</w:t>
      </w:r>
      <w:r w:rsidR="00AF4432">
        <w:t xml:space="preserve">, </w:t>
      </w:r>
      <w:r w:rsidR="00BE45C4">
        <w:t xml:space="preserve">Street </w:t>
      </w:r>
      <w:r w:rsidR="00AF4432">
        <w:t>Clean</w:t>
      </w:r>
      <w:r w:rsidR="00BE45C4">
        <w:t>s</w:t>
      </w:r>
      <w:r w:rsidR="00AF4432">
        <w:t>ing</w:t>
      </w:r>
      <w:r w:rsidR="00DB00DE">
        <w:t xml:space="preserve"> and Domestic Refuse services. </w:t>
      </w:r>
    </w:p>
    <w:p w14:paraId="065DEFA1" w14:textId="77777777" w:rsidR="00D71D99" w:rsidRDefault="00D71D99" w:rsidP="00777A64">
      <w:pPr>
        <w:pStyle w:val="ListParagraph"/>
        <w:ind w:hanging="360"/>
      </w:pPr>
    </w:p>
    <w:p w14:paraId="5CBE9488" w14:textId="77777777" w:rsidR="00D71D99" w:rsidRPr="003B360E" w:rsidRDefault="00D71D99" w:rsidP="007024F1">
      <w:pPr>
        <w:pStyle w:val="ListParagraph"/>
        <w:numPr>
          <w:ilvl w:val="0"/>
          <w:numId w:val="63"/>
        </w:numPr>
        <w:jc w:val="both"/>
      </w:pPr>
      <w:r w:rsidRPr="003B360E">
        <w:t xml:space="preserve">There may be circumstances where </w:t>
      </w:r>
      <w:r w:rsidR="00F7396C">
        <w:t>the charge is set for reasons such as</w:t>
      </w:r>
      <w:r w:rsidRPr="003B360E">
        <w:t xml:space="preserve">, for example, where the Council wishes to manage demand, or deter or incentivise certain behaviours such as encouraging re-cycling, discouraging trade use of civic amenity waste sites etc. </w:t>
      </w:r>
    </w:p>
    <w:p w14:paraId="16550338" w14:textId="77777777" w:rsidR="00DB00DE" w:rsidRDefault="00DB00DE" w:rsidP="007024F1">
      <w:pPr>
        <w:ind w:hanging="360"/>
        <w:jc w:val="both"/>
      </w:pPr>
    </w:p>
    <w:p w14:paraId="56693EB4" w14:textId="20532DDD" w:rsidR="006F4F1F" w:rsidRDefault="00DB00DE" w:rsidP="007024F1">
      <w:pPr>
        <w:pStyle w:val="ListParagraph"/>
        <w:numPr>
          <w:ilvl w:val="0"/>
          <w:numId w:val="63"/>
        </w:numPr>
        <w:jc w:val="both"/>
      </w:pPr>
      <w:r>
        <w:t xml:space="preserve">The remaining </w:t>
      </w:r>
      <w:r w:rsidR="001601BC">
        <w:t>chargeable</w:t>
      </w:r>
      <w:r>
        <w:t xml:space="preserve"> services where the Council levies fees and charges are of a </w:t>
      </w:r>
      <w:r w:rsidR="00AF4432">
        <w:t>discretionary nature</w:t>
      </w:r>
      <w:r>
        <w:t xml:space="preserve">.  These cover a wide range of services such as Libraries, Pest Control, Commercial Waste, Leisure &amp; Recreation facilities, </w:t>
      </w:r>
      <w:r w:rsidR="00E0147A">
        <w:t xml:space="preserve">and </w:t>
      </w:r>
      <w:r>
        <w:t>Parking.</w:t>
      </w:r>
      <w:r w:rsidR="00961F1D">
        <w:t xml:space="preserve">  Discretionary Services are those that an authority has the power to provide but is not obliged to.</w:t>
      </w:r>
      <w:r>
        <w:t xml:space="preserve">  This report </w:t>
      </w:r>
      <w:r w:rsidR="00961F1D">
        <w:t xml:space="preserve">includes </w:t>
      </w:r>
      <w:r>
        <w:t>recommend</w:t>
      </w:r>
      <w:r w:rsidR="00961F1D">
        <w:t>ation</w:t>
      </w:r>
      <w:r w:rsidR="00872189">
        <w:t>s</w:t>
      </w:r>
      <w:r>
        <w:t xml:space="preserve"> </w:t>
      </w:r>
      <w:r w:rsidR="00961F1D">
        <w:t xml:space="preserve">for </w:t>
      </w:r>
      <w:r>
        <w:t>the appropriate level of fees and charges for 20</w:t>
      </w:r>
      <w:r w:rsidR="009C79F8">
        <w:t>2</w:t>
      </w:r>
      <w:r w:rsidR="00CF145A">
        <w:t>2</w:t>
      </w:r>
      <w:r w:rsidR="0005505D">
        <w:t>/</w:t>
      </w:r>
      <w:r w:rsidR="00372596">
        <w:t>2</w:t>
      </w:r>
      <w:r w:rsidR="00CF145A">
        <w:t>3</w:t>
      </w:r>
      <w:r>
        <w:t xml:space="preserve"> for these type</w:t>
      </w:r>
      <w:r w:rsidR="006F4F1F">
        <w:t>s</w:t>
      </w:r>
      <w:r>
        <w:t xml:space="preserve"> of services.  </w:t>
      </w:r>
    </w:p>
    <w:p w14:paraId="1E97648C" w14:textId="77777777" w:rsidR="005F28F7" w:rsidRPr="00734C10" w:rsidRDefault="005F28F7" w:rsidP="001150E5">
      <w:pPr>
        <w:ind w:hanging="360"/>
      </w:pPr>
    </w:p>
    <w:p w14:paraId="30F90A94" w14:textId="77777777" w:rsidR="005F28F7" w:rsidRPr="003B360E" w:rsidRDefault="00B7468A" w:rsidP="007024F1">
      <w:pPr>
        <w:pStyle w:val="ListParagraph"/>
        <w:numPr>
          <w:ilvl w:val="0"/>
          <w:numId w:val="63"/>
        </w:numPr>
        <w:jc w:val="both"/>
      </w:pPr>
      <w:r>
        <w:t>The Council has an</w:t>
      </w:r>
      <w:r w:rsidR="00ED60E9" w:rsidRPr="003B360E">
        <w:t xml:space="preserve"> </w:t>
      </w:r>
      <w:r w:rsidR="00954834" w:rsidRPr="003B360E">
        <w:t>agreed Charging</w:t>
      </w:r>
      <w:r w:rsidR="00ED60E9" w:rsidRPr="003B360E">
        <w:t xml:space="preserve"> </w:t>
      </w:r>
      <w:r w:rsidR="00D06977" w:rsidRPr="003B360E">
        <w:t>P</w:t>
      </w:r>
      <w:r w:rsidR="00ED60E9" w:rsidRPr="003B360E">
        <w:t xml:space="preserve">olicy </w:t>
      </w:r>
      <w:r w:rsidR="00D06977" w:rsidRPr="003B360E">
        <w:t>(Appendix 1</w:t>
      </w:r>
      <w:r w:rsidR="00AF4432" w:rsidRPr="003B360E">
        <w:t>) that</w:t>
      </w:r>
      <w:r w:rsidR="00274943" w:rsidRPr="003B360E">
        <w:t xml:space="preserve"> provide</w:t>
      </w:r>
      <w:r>
        <w:t>s</w:t>
      </w:r>
      <w:r w:rsidR="00274943" w:rsidRPr="003B360E">
        <w:t xml:space="preserve"> guidance for budget holders in how to set fees</w:t>
      </w:r>
      <w:r w:rsidR="00AD7682" w:rsidRPr="003B360E">
        <w:t>,</w:t>
      </w:r>
      <w:r w:rsidR="00274943" w:rsidRPr="003B360E">
        <w:t xml:space="preserve"> and guidance for members in how to ensure that effective charging strategies </w:t>
      </w:r>
      <w:r w:rsidR="0084554D">
        <w:t>a</w:t>
      </w:r>
      <w:r w:rsidR="00274943" w:rsidRPr="003B360E">
        <w:t>re in place</w:t>
      </w:r>
      <w:r w:rsidR="00F306C0" w:rsidRPr="003B360E">
        <w:t>.</w:t>
      </w:r>
      <w:r w:rsidR="0005505D" w:rsidRPr="003B360E">
        <w:t xml:space="preserve"> </w:t>
      </w:r>
      <w:r w:rsidR="00274943" w:rsidRPr="003B360E">
        <w:t xml:space="preserve"> </w:t>
      </w:r>
    </w:p>
    <w:p w14:paraId="5D17A0B0" w14:textId="77777777" w:rsidR="005F28F7" w:rsidRDefault="005F28F7" w:rsidP="001D1F3B">
      <w:pPr>
        <w:jc w:val="both"/>
      </w:pPr>
    </w:p>
    <w:p w14:paraId="6E7C605E" w14:textId="3C2C55DE" w:rsidR="00D7382B" w:rsidRDefault="00AB521F" w:rsidP="001D1F3B">
      <w:pPr>
        <w:pStyle w:val="Heading2"/>
        <w:jc w:val="both"/>
      </w:pPr>
      <w:r>
        <w:t>Charging Policy</w:t>
      </w:r>
    </w:p>
    <w:p w14:paraId="0BE6F168" w14:textId="77777777" w:rsidR="00EB25BD" w:rsidRPr="00EB25BD" w:rsidRDefault="00EB25BD" w:rsidP="00EB25BD"/>
    <w:p w14:paraId="3489ED96" w14:textId="4C5FAB93" w:rsidR="005F28F7" w:rsidRDefault="005372C7" w:rsidP="007024F1">
      <w:pPr>
        <w:pStyle w:val="ListParagraph"/>
        <w:numPr>
          <w:ilvl w:val="0"/>
          <w:numId w:val="63"/>
        </w:numPr>
        <w:jc w:val="both"/>
      </w:pPr>
      <w:r>
        <w:t xml:space="preserve">The </w:t>
      </w:r>
      <w:r w:rsidR="00636882">
        <w:t xml:space="preserve">policy </w:t>
      </w:r>
      <w:r>
        <w:t xml:space="preserve">framework </w:t>
      </w:r>
      <w:r w:rsidR="00160A26">
        <w:t>(Appendix 1) a</w:t>
      </w:r>
      <w:r>
        <w:t xml:space="preserve">ims to encourage a consistent and </w:t>
      </w:r>
      <w:r w:rsidR="00EB25BD">
        <w:t>cost-effective</w:t>
      </w:r>
      <w:r>
        <w:t xml:space="preserve"> approach to the setting of charges for services provided by Harrow Council by:</w:t>
      </w:r>
    </w:p>
    <w:p w14:paraId="2A6C5BA6" w14:textId="77777777" w:rsidR="005372C7" w:rsidRDefault="005372C7" w:rsidP="001D1F3B">
      <w:pPr>
        <w:tabs>
          <w:tab w:val="num" w:pos="561"/>
        </w:tabs>
        <w:ind w:left="561" w:hanging="561"/>
        <w:jc w:val="both"/>
      </w:pPr>
    </w:p>
    <w:p w14:paraId="1A04C613" w14:textId="77777777" w:rsidR="005372C7" w:rsidRDefault="00852FCB" w:rsidP="00A2094E">
      <w:pPr>
        <w:pStyle w:val="ListParagraph"/>
        <w:numPr>
          <w:ilvl w:val="0"/>
          <w:numId w:val="28"/>
        </w:numPr>
        <w:jc w:val="both"/>
      </w:pPr>
      <w:r>
        <w:t>Specifying the process and frequency for reviewing existing charges for all areas of the council’s work for which charges could in principle be set</w:t>
      </w:r>
    </w:p>
    <w:p w14:paraId="442F876A" w14:textId="77777777" w:rsidR="00852FCB" w:rsidRDefault="00852FCB" w:rsidP="00A2094E">
      <w:pPr>
        <w:pStyle w:val="ListParagraph"/>
        <w:numPr>
          <w:ilvl w:val="0"/>
          <w:numId w:val="28"/>
        </w:numPr>
        <w:jc w:val="both"/>
      </w:pPr>
      <w:r>
        <w:t>Providing guidance on the factors that need to be taken into consideration when charges are being reviewed</w:t>
      </w:r>
    </w:p>
    <w:p w14:paraId="6E6AD668" w14:textId="77777777" w:rsidR="00852FCB" w:rsidRDefault="00852FCB" w:rsidP="00A2094E">
      <w:pPr>
        <w:pStyle w:val="ListParagraph"/>
        <w:numPr>
          <w:ilvl w:val="0"/>
          <w:numId w:val="28"/>
        </w:numPr>
        <w:jc w:val="both"/>
      </w:pPr>
      <w:r>
        <w:t>Requiring more active use of market intelligence when setting charges</w:t>
      </w:r>
    </w:p>
    <w:p w14:paraId="13B03903" w14:textId="77777777" w:rsidR="00852FCB" w:rsidRDefault="00852FCB" w:rsidP="00A2094E">
      <w:pPr>
        <w:pStyle w:val="ListParagraph"/>
        <w:numPr>
          <w:ilvl w:val="0"/>
          <w:numId w:val="28"/>
        </w:numPr>
        <w:jc w:val="both"/>
      </w:pPr>
      <w:r>
        <w:lastRenderedPageBreak/>
        <w:t>Establishing parameters for calculating different levels of charges</w:t>
      </w:r>
    </w:p>
    <w:p w14:paraId="5D646639" w14:textId="24CB22CF" w:rsidR="00947F25" w:rsidRDefault="00852FCB" w:rsidP="00660BEE">
      <w:pPr>
        <w:pStyle w:val="ListParagraph"/>
        <w:numPr>
          <w:ilvl w:val="0"/>
          <w:numId w:val="28"/>
        </w:numPr>
        <w:jc w:val="both"/>
      </w:pPr>
      <w:r>
        <w:t>Recommending the criteria for applying concessions or discounted charges consistently across the council</w:t>
      </w:r>
      <w:r w:rsidR="00EB25BD">
        <w:t>.</w:t>
      </w:r>
    </w:p>
    <w:p w14:paraId="6FB2710B" w14:textId="77777777" w:rsidR="00947F25" w:rsidRDefault="00947F25" w:rsidP="001D1F3B">
      <w:pPr>
        <w:tabs>
          <w:tab w:val="num" w:pos="1440"/>
          <w:tab w:val="num" w:pos="1496"/>
        </w:tabs>
        <w:ind w:left="561"/>
        <w:jc w:val="both"/>
      </w:pPr>
    </w:p>
    <w:p w14:paraId="2BA7B91F" w14:textId="3B5DA034" w:rsidR="00A77924" w:rsidRDefault="00A77924" w:rsidP="001D1F3B">
      <w:pPr>
        <w:tabs>
          <w:tab w:val="num" w:pos="-851"/>
        </w:tabs>
        <w:jc w:val="both"/>
        <w:rPr>
          <w:b/>
        </w:rPr>
      </w:pPr>
      <w:r w:rsidRPr="00360C18">
        <w:rPr>
          <w:rStyle w:val="Heading2Char"/>
        </w:rPr>
        <w:t>Medium</w:t>
      </w:r>
      <w:r w:rsidR="00EB25BD">
        <w:rPr>
          <w:rStyle w:val="Heading2Char"/>
        </w:rPr>
        <w:t>-</w:t>
      </w:r>
      <w:r w:rsidRPr="00360C18">
        <w:rPr>
          <w:rStyle w:val="Heading2Char"/>
        </w:rPr>
        <w:t>Term Finan</w:t>
      </w:r>
      <w:r w:rsidR="00A86D9E" w:rsidRPr="00360C18">
        <w:rPr>
          <w:rStyle w:val="Heading2Char"/>
        </w:rPr>
        <w:t>cial Strategy 20</w:t>
      </w:r>
      <w:r w:rsidR="009C79F8">
        <w:rPr>
          <w:rStyle w:val="Heading2Char"/>
        </w:rPr>
        <w:t>2</w:t>
      </w:r>
      <w:r w:rsidR="00CF145A">
        <w:rPr>
          <w:rStyle w:val="Heading2Char"/>
        </w:rPr>
        <w:t>2</w:t>
      </w:r>
      <w:r w:rsidR="0005505D">
        <w:rPr>
          <w:rStyle w:val="Heading2Char"/>
        </w:rPr>
        <w:t>/</w:t>
      </w:r>
      <w:r w:rsidR="00372596">
        <w:rPr>
          <w:rStyle w:val="Heading2Char"/>
        </w:rPr>
        <w:t>2</w:t>
      </w:r>
      <w:r w:rsidR="00CF145A">
        <w:rPr>
          <w:rStyle w:val="Heading2Char"/>
        </w:rPr>
        <w:t>3</w:t>
      </w:r>
      <w:r w:rsidR="00A86D9E">
        <w:rPr>
          <w:b/>
        </w:rPr>
        <w:t xml:space="preserve"> </w:t>
      </w:r>
    </w:p>
    <w:p w14:paraId="35A4B255" w14:textId="77777777" w:rsidR="00EB25BD" w:rsidRPr="0091421B" w:rsidRDefault="00EB25BD" w:rsidP="001D1F3B">
      <w:pPr>
        <w:tabs>
          <w:tab w:val="num" w:pos="-851"/>
        </w:tabs>
        <w:jc w:val="both"/>
        <w:rPr>
          <w:b/>
        </w:rPr>
      </w:pPr>
    </w:p>
    <w:p w14:paraId="5C759322" w14:textId="1C2CEB87" w:rsidR="00F93B8A" w:rsidRPr="004E72FA" w:rsidRDefault="00A86D9E" w:rsidP="007024F1">
      <w:pPr>
        <w:pStyle w:val="ListParagraph"/>
        <w:numPr>
          <w:ilvl w:val="0"/>
          <w:numId w:val="63"/>
        </w:numPr>
        <w:jc w:val="both"/>
      </w:pPr>
      <w:r>
        <w:t>The Char</w:t>
      </w:r>
      <w:r w:rsidR="000015DB">
        <w:t>g</w:t>
      </w:r>
      <w:r>
        <w:t>ing Policy provides guidance on the factors to consider when reviewing charges</w:t>
      </w:r>
      <w:r w:rsidR="00160A26">
        <w:t>.</w:t>
      </w:r>
      <w:r w:rsidR="00D34E8B">
        <w:t xml:space="preserve"> </w:t>
      </w:r>
      <w:r w:rsidR="00F63FE1">
        <w:t xml:space="preserve"> Where possible</w:t>
      </w:r>
      <w:r w:rsidR="003E12C7">
        <w:t>,</w:t>
      </w:r>
      <w:r w:rsidR="00F63FE1">
        <w:t xml:space="preserve"> and consistent with the Council’s service priorities, it is proposed to increase charges to </w:t>
      </w:r>
      <w:r w:rsidR="00866A29">
        <w:t xml:space="preserve">ensure or </w:t>
      </w:r>
      <w:r w:rsidR="00F63FE1">
        <w:t xml:space="preserve">move towards </w:t>
      </w:r>
      <w:r w:rsidR="00362A54">
        <w:t>full cost recovery</w:t>
      </w:r>
      <w:r w:rsidR="00362A54" w:rsidRPr="004E72FA">
        <w:t xml:space="preserve">. </w:t>
      </w:r>
      <w:r w:rsidR="00134657" w:rsidRPr="004E72FA">
        <w:t xml:space="preserve">Many of the charges are being </w:t>
      </w:r>
      <w:r w:rsidR="00866A29">
        <w:t xml:space="preserve">proposed to </w:t>
      </w:r>
      <w:r w:rsidR="00134657" w:rsidRPr="004E72FA">
        <w:t xml:space="preserve">increase </w:t>
      </w:r>
      <w:r w:rsidR="00730E2E" w:rsidRPr="004E72FA">
        <w:t xml:space="preserve">by </w:t>
      </w:r>
      <w:r w:rsidR="00CF145A">
        <w:t>5</w:t>
      </w:r>
      <w:r w:rsidR="00134657" w:rsidRPr="004E72FA">
        <w:t xml:space="preserve">% (rounded up </w:t>
      </w:r>
      <w:r w:rsidR="003E12C7" w:rsidRPr="004E72FA">
        <w:t xml:space="preserve">or down as appropriate).  </w:t>
      </w:r>
      <w:r w:rsidR="00F93B8A" w:rsidRPr="004E72FA">
        <w:t xml:space="preserve">This takes account of the level of inflation as measured by the Retail Price Index, </w:t>
      </w:r>
      <w:r w:rsidR="00F93B8A" w:rsidRPr="00A97E46">
        <w:t xml:space="preserve">which as at </w:t>
      </w:r>
      <w:r w:rsidR="006420E4">
        <w:t xml:space="preserve">September </w:t>
      </w:r>
      <w:r w:rsidR="00F93B8A" w:rsidRPr="00A97E46">
        <w:t>20</w:t>
      </w:r>
      <w:r w:rsidR="004507C5">
        <w:t>2</w:t>
      </w:r>
      <w:r w:rsidR="00CF145A">
        <w:t>1</w:t>
      </w:r>
      <w:r w:rsidR="00F93B8A" w:rsidRPr="00A97E46">
        <w:t xml:space="preserve"> is </w:t>
      </w:r>
      <w:r w:rsidR="005B6730">
        <w:t>4.9</w:t>
      </w:r>
      <w:r w:rsidR="00F93B8A" w:rsidRPr="00A97E46">
        <w:t xml:space="preserve">% and </w:t>
      </w:r>
      <w:r w:rsidR="00EE446F" w:rsidRPr="00A97E46">
        <w:t xml:space="preserve">also </w:t>
      </w:r>
      <w:r w:rsidR="00F93B8A" w:rsidRPr="00A97E46">
        <w:t>provides</w:t>
      </w:r>
      <w:r w:rsidR="00F93B8A" w:rsidRPr="004E72FA">
        <w:t xml:space="preserve"> </w:t>
      </w:r>
      <w:r w:rsidR="00F93B8A">
        <w:t xml:space="preserve">for </w:t>
      </w:r>
      <w:r w:rsidR="00F93B8A" w:rsidRPr="004E72FA">
        <w:t>an element of movement towards full cost recovery.</w:t>
      </w:r>
    </w:p>
    <w:p w14:paraId="259A5406" w14:textId="77777777" w:rsidR="00D75671" w:rsidRDefault="00D75671" w:rsidP="001D1F3B">
      <w:pPr>
        <w:tabs>
          <w:tab w:val="num" w:pos="-851"/>
        </w:tabs>
        <w:ind w:left="561" w:hanging="561"/>
        <w:jc w:val="both"/>
      </w:pPr>
    </w:p>
    <w:p w14:paraId="2C962766" w14:textId="77777777" w:rsidR="00203738" w:rsidRDefault="003E7FED" w:rsidP="001D1F3B">
      <w:pPr>
        <w:jc w:val="both"/>
        <w:rPr>
          <w:szCs w:val="24"/>
        </w:rPr>
      </w:pPr>
      <w:r w:rsidRPr="00734C10">
        <w:rPr>
          <w:b/>
          <w:sz w:val="28"/>
        </w:rPr>
        <w:t xml:space="preserve">Summary of Proposed Changes </w:t>
      </w:r>
      <w:r w:rsidR="00203738" w:rsidRPr="00203738">
        <w:rPr>
          <w:szCs w:val="24"/>
        </w:rPr>
        <w:t xml:space="preserve">  </w:t>
      </w:r>
    </w:p>
    <w:p w14:paraId="2506D4E4" w14:textId="77777777" w:rsidR="00EB25BD" w:rsidRDefault="00EB25BD" w:rsidP="00EB25BD">
      <w:pPr>
        <w:rPr>
          <w:b/>
        </w:rPr>
      </w:pPr>
    </w:p>
    <w:p w14:paraId="13B0A392" w14:textId="64978CF1" w:rsidR="00D71D99" w:rsidRPr="00EB25BD" w:rsidRDefault="00D71D99" w:rsidP="00EB25BD">
      <w:pPr>
        <w:rPr>
          <w:rFonts w:eastAsia="Calibri" w:cs="Arial"/>
          <w:b/>
          <w:sz w:val="22"/>
          <w:szCs w:val="22"/>
        </w:rPr>
      </w:pPr>
      <w:r w:rsidRPr="00EB25BD">
        <w:rPr>
          <w:b/>
        </w:rPr>
        <w:t>Communit</w:t>
      </w:r>
      <w:r w:rsidR="004B1A07" w:rsidRPr="00EB25BD">
        <w:rPr>
          <w:b/>
        </w:rPr>
        <w:t>y</w:t>
      </w:r>
      <w:r w:rsidRPr="00EB25BD">
        <w:rPr>
          <w:b/>
        </w:rPr>
        <w:t xml:space="preserve"> </w:t>
      </w:r>
      <w:r w:rsidR="00A97E46" w:rsidRPr="00EB25BD">
        <w:rPr>
          <w:b/>
        </w:rPr>
        <w:t xml:space="preserve">Directorate </w:t>
      </w:r>
      <w:r w:rsidRPr="00EB25BD">
        <w:rPr>
          <w:b/>
        </w:rPr>
        <w:t xml:space="preserve">(Appendix </w:t>
      </w:r>
      <w:r w:rsidR="004B1A07" w:rsidRPr="00EB25BD">
        <w:rPr>
          <w:b/>
        </w:rPr>
        <w:t>2</w:t>
      </w:r>
      <w:r w:rsidRPr="00EB25BD">
        <w:rPr>
          <w:b/>
        </w:rPr>
        <w:t xml:space="preserve">) </w:t>
      </w:r>
    </w:p>
    <w:p w14:paraId="7A7FCA3D" w14:textId="77777777" w:rsidR="009A04CF" w:rsidRPr="00D71D99" w:rsidRDefault="009A04CF" w:rsidP="00777A64">
      <w:pPr>
        <w:pStyle w:val="ListParagraph"/>
        <w:ind w:left="360" w:hanging="76"/>
        <w:jc w:val="both"/>
        <w:rPr>
          <w:b/>
        </w:rPr>
      </w:pPr>
    </w:p>
    <w:p w14:paraId="137E7AD4" w14:textId="025457A3" w:rsidR="00EB1556" w:rsidRDefault="00EB1556" w:rsidP="00EB1556">
      <w:pPr>
        <w:pStyle w:val="ListParagraph"/>
        <w:numPr>
          <w:ilvl w:val="0"/>
          <w:numId w:val="63"/>
        </w:numPr>
      </w:pPr>
      <w:r w:rsidRPr="00EB1556">
        <w:t>The 202</w:t>
      </w:r>
      <w:r w:rsidR="005B6730">
        <w:t>3</w:t>
      </w:r>
      <w:r w:rsidRPr="00EB1556">
        <w:t>/2</w:t>
      </w:r>
      <w:r w:rsidR="005B6730">
        <w:t>3</w:t>
      </w:r>
      <w:r w:rsidRPr="00EB1556">
        <w:t xml:space="preserve"> proposed fees and charges for the Community Directorate are detailed in Appendix </w:t>
      </w:r>
      <w:r>
        <w:t>2</w:t>
      </w:r>
      <w:r w:rsidRPr="00EB1556">
        <w:t xml:space="preserve">. In general, discretionary charges have been increased by </w:t>
      </w:r>
      <w:r w:rsidR="005B6730">
        <w:t>5</w:t>
      </w:r>
      <w:r w:rsidRPr="00EB1556">
        <w:t xml:space="preserve">% to allow for inflation, with suitable rounding, which is in line with the corporate guidance. Within the schedule, there are a number of fees and charges which are for noting by Cabinet as they relate to non-executive functions </w:t>
      </w:r>
      <w:r w:rsidR="002871BD">
        <w:t>(e.g.</w:t>
      </w:r>
      <w:r w:rsidRPr="00EB1556">
        <w:t>in licencing</w:t>
      </w:r>
      <w:r w:rsidR="00D51224">
        <w:t>)</w:t>
      </w:r>
      <w:r w:rsidRPr="00EB1556">
        <w:t xml:space="preserve"> and therefore require Council </w:t>
      </w:r>
      <w:r w:rsidR="0008395F">
        <w:t>a</w:t>
      </w:r>
      <w:r w:rsidRPr="00EB1556">
        <w:t>pproval in a separate report.</w:t>
      </w:r>
    </w:p>
    <w:p w14:paraId="763AC372" w14:textId="77777777" w:rsidR="00EB1556" w:rsidRPr="00EB1556" w:rsidRDefault="00EB1556" w:rsidP="00EB6498">
      <w:pPr>
        <w:pStyle w:val="ListParagraph"/>
        <w:ind w:left="360"/>
      </w:pPr>
    </w:p>
    <w:p w14:paraId="1DA3AE15" w14:textId="5362D871" w:rsidR="00DD1378" w:rsidRPr="006B7150" w:rsidRDefault="00EB1556" w:rsidP="00BA5FE0">
      <w:pPr>
        <w:pStyle w:val="ListParagraph"/>
        <w:numPr>
          <w:ilvl w:val="0"/>
          <w:numId w:val="63"/>
        </w:numPr>
      </w:pPr>
      <w:r w:rsidRPr="00EB1556">
        <w:t>The Directorate has undertaken a review of its fees and charges. Where fees are not increased in accordance with the inflationary guide, they are set out and explained below:</w:t>
      </w:r>
    </w:p>
    <w:p w14:paraId="2B5A2D01" w14:textId="77777777" w:rsidR="00AD4F27" w:rsidRPr="007024F1" w:rsidRDefault="00AD4F27" w:rsidP="006B7150">
      <w:pPr>
        <w:pStyle w:val="ListParagraph"/>
        <w:ind w:left="360"/>
      </w:pPr>
    </w:p>
    <w:p w14:paraId="3D7D3CE1" w14:textId="7D601F74" w:rsidR="00AD4F27" w:rsidRDefault="00AD4F27" w:rsidP="00EB25BD">
      <w:pPr>
        <w:spacing w:after="200"/>
        <w:jc w:val="both"/>
        <w:rPr>
          <w:b/>
        </w:rPr>
      </w:pPr>
      <w:r w:rsidRPr="007024F1">
        <w:rPr>
          <w:b/>
        </w:rPr>
        <w:t xml:space="preserve">Fees that remain unchanged or are changed by lower than the </w:t>
      </w:r>
      <w:r w:rsidRPr="0091383D">
        <w:rPr>
          <w:b/>
        </w:rPr>
        <w:t>inflationary uplift</w:t>
      </w:r>
      <w:r w:rsidR="00163B55">
        <w:rPr>
          <w:b/>
        </w:rPr>
        <w:t xml:space="preserve"> or are reduced</w:t>
      </w:r>
      <w:r w:rsidRPr="0091383D">
        <w:rPr>
          <w:b/>
        </w:rPr>
        <w:t xml:space="preserve"> are:</w:t>
      </w:r>
    </w:p>
    <w:p w14:paraId="5638B512" w14:textId="0139215D" w:rsidR="00FB3A25" w:rsidRDefault="00163B55" w:rsidP="00FB3A25">
      <w:pPr>
        <w:pStyle w:val="ListParagraph"/>
        <w:numPr>
          <w:ilvl w:val="0"/>
          <w:numId w:val="63"/>
        </w:numPr>
        <w:spacing w:after="200"/>
        <w:jc w:val="both"/>
      </w:pPr>
      <w:r>
        <w:t xml:space="preserve"> </w:t>
      </w:r>
      <w:r w:rsidR="00FB3A25">
        <w:t>Cemetery  fees (charges 15 and 16) - All resident charges relating to child burials are to continue to be free of charge, to support families during one of the most traumatic events a family can face and reduce the burden families face during such a difficult time.</w:t>
      </w:r>
    </w:p>
    <w:p w14:paraId="07C1A882" w14:textId="0C1793A5" w:rsidR="007606F6" w:rsidRPr="007606F6" w:rsidRDefault="007606F6" w:rsidP="007606F6">
      <w:pPr>
        <w:pStyle w:val="ListParagraph"/>
        <w:numPr>
          <w:ilvl w:val="0"/>
          <w:numId w:val="63"/>
        </w:numPr>
        <w:spacing w:after="200"/>
        <w:jc w:val="both"/>
        <w:rPr>
          <w:rFonts w:cs="Arial"/>
          <w:szCs w:val="24"/>
        </w:rPr>
      </w:pPr>
      <w:r w:rsidRPr="007606F6">
        <w:t xml:space="preserve">Sports fees (charges 8,9,12 and 14) – No increase is proposed for seasonal pitch lettings (blocked bookings) to encourage residents to get active and to support sports clubs to rebuild their memberships as part of the recovery following the pandemic.  </w:t>
      </w:r>
    </w:p>
    <w:p w14:paraId="67A9BA2C" w14:textId="56199324" w:rsidR="00FB3A25" w:rsidRDefault="00FB3A25" w:rsidP="00FB3A25">
      <w:pPr>
        <w:pStyle w:val="ListParagraph"/>
        <w:numPr>
          <w:ilvl w:val="0"/>
          <w:numId w:val="63"/>
        </w:numPr>
        <w:spacing w:after="200"/>
        <w:jc w:val="both"/>
      </w:pPr>
      <w:r>
        <w:t xml:space="preserve"> Garden</w:t>
      </w:r>
      <w:r w:rsidRPr="00FB3A25">
        <w:t xml:space="preserve"> </w:t>
      </w:r>
      <w:r>
        <w:t xml:space="preserve">Waste Collection (charge 31) – No increase is proposed as benchmarked data for subscription garden waste service puts Harrow at a similar level to other London Boroughs. Subscriptions are at a good and sustained level for 2021/22 and the current charges reflect full cost recovery.   </w:t>
      </w:r>
    </w:p>
    <w:p w14:paraId="25826D2F" w14:textId="77777777" w:rsidR="00FB3A25" w:rsidRDefault="00FB3A25" w:rsidP="00FB3A25">
      <w:pPr>
        <w:pStyle w:val="ListParagraph"/>
        <w:numPr>
          <w:ilvl w:val="0"/>
          <w:numId w:val="63"/>
        </w:numPr>
        <w:spacing w:after="200"/>
        <w:jc w:val="both"/>
      </w:pPr>
      <w:r>
        <w:t xml:space="preserve"> Supply of bins (charges 32 and 33) – these charges remain at the same level as 2021/22 in order to remain competitive in the market.</w:t>
      </w:r>
    </w:p>
    <w:p w14:paraId="4C99EBCC" w14:textId="4E2CA093" w:rsidR="00FB3A25" w:rsidRDefault="00FB3A25" w:rsidP="00FB3A25">
      <w:pPr>
        <w:pStyle w:val="ListParagraph"/>
        <w:numPr>
          <w:ilvl w:val="0"/>
          <w:numId w:val="63"/>
        </w:numPr>
        <w:spacing w:after="200"/>
        <w:jc w:val="both"/>
      </w:pPr>
      <w:r>
        <w:t xml:space="preserve">Pay and Display </w:t>
      </w:r>
      <w:r w:rsidRPr="00287003">
        <w:t xml:space="preserve">parking charges for On Street and Public Car Parks (charges 37a and 37b) – These charges were last reviewed and revised in </w:t>
      </w:r>
      <w:r w:rsidRPr="00287003">
        <w:lastRenderedPageBreak/>
        <w:t>April 2020. No increase is proposed to help support local economy</w:t>
      </w:r>
      <w:r>
        <w:t xml:space="preserve"> except for Harrow on the Hill CPZ (see </w:t>
      </w:r>
      <w:r w:rsidR="008100CD">
        <w:t>paragraph 30</w:t>
      </w:r>
      <w:r>
        <w:t>).</w:t>
      </w:r>
    </w:p>
    <w:p w14:paraId="47F7BD89" w14:textId="77777777" w:rsidR="00FB3A25" w:rsidRPr="00287003" w:rsidRDefault="00FB3A25" w:rsidP="00FB3A25">
      <w:pPr>
        <w:pStyle w:val="ListParagraph"/>
        <w:numPr>
          <w:ilvl w:val="0"/>
          <w:numId w:val="63"/>
        </w:numPr>
        <w:spacing w:after="200"/>
        <w:jc w:val="both"/>
      </w:pPr>
      <w:r w:rsidRPr="00561208">
        <w:t>Road Traffic Regulation</w:t>
      </w:r>
      <w:r>
        <w:t xml:space="preserve"> (charge 38) – The charges for the suspension of parking places have been reviewed and revised to be in line with the Pay &amp; Display tariffs.</w:t>
      </w:r>
    </w:p>
    <w:p w14:paraId="062F151A" w14:textId="77777777" w:rsidR="00FB3A25" w:rsidRDefault="00FB3A25" w:rsidP="00FB3A25">
      <w:pPr>
        <w:pStyle w:val="ListParagraph"/>
        <w:numPr>
          <w:ilvl w:val="0"/>
          <w:numId w:val="63"/>
        </w:numPr>
        <w:spacing w:after="200"/>
        <w:jc w:val="both"/>
      </w:pPr>
      <w:r>
        <w:t>The Great Barn (charge 95) – Due to a change in service delivery, the fees are reviewed and revised to reflect the new service offer. Hire charges for summer and winter periods are provided. The fee for wedding ceremony is kept at the same level in order to remain competitive with other local private venues.</w:t>
      </w:r>
    </w:p>
    <w:p w14:paraId="5749423D" w14:textId="77777777" w:rsidR="00FB3A25" w:rsidRPr="0078285C" w:rsidRDefault="00FB3A25" w:rsidP="00FB3A25">
      <w:pPr>
        <w:numPr>
          <w:ilvl w:val="0"/>
          <w:numId w:val="63"/>
        </w:numPr>
        <w:spacing w:after="200"/>
        <w:jc w:val="both"/>
        <w:rPr>
          <w:rFonts w:cs="Arial"/>
        </w:rPr>
      </w:pPr>
      <w:r>
        <w:t xml:space="preserve"> </w:t>
      </w:r>
      <w:r w:rsidRPr="0078285C">
        <w:rPr>
          <w:rFonts w:cs="Arial"/>
        </w:rPr>
        <w:t xml:space="preserve">Harrow Museum (charge 95a) – education and local history charges are kept at the same level to encourage uptake by schools and other organisations. </w:t>
      </w:r>
    </w:p>
    <w:p w14:paraId="307EF60D" w14:textId="2C8F38E4" w:rsidR="00FB3A25" w:rsidRDefault="00FB3A25" w:rsidP="00FB3A25">
      <w:pPr>
        <w:pStyle w:val="ListParagraph"/>
        <w:numPr>
          <w:ilvl w:val="0"/>
          <w:numId w:val="63"/>
        </w:numPr>
        <w:spacing w:after="200"/>
        <w:jc w:val="both"/>
      </w:pPr>
      <w:r>
        <w:t xml:space="preserve"> </w:t>
      </w:r>
      <w:r w:rsidRPr="0078285C">
        <w:t>Harrow Music Service SLA charges music tuition</w:t>
      </w:r>
      <w:r>
        <w:t xml:space="preserve"> (charge 96) – An average of 2% increase is proposed as a higher uplift could have a negative impact on the number of sign-ups due to </w:t>
      </w:r>
      <w:r w:rsidR="008100CD">
        <w:t>schools’</w:t>
      </w:r>
      <w:r>
        <w:t xml:space="preserve"> budget constraints. </w:t>
      </w:r>
    </w:p>
    <w:p w14:paraId="11B22D0A" w14:textId="77777777" w:rsidR="00FB3A25" w:rsidRPr="00E00491" w:rsidRDefault="00FB3A25" w:rsidP="00FB3A25">
      <w:pPr>
        <w:numPr>
          <w:ilvl w:val="0"/>
          <w:numId w:val="63"/>
        </w:numPr>
        <w:spacing w:after="200"/>
        <w:jc w:val="both"/>
        <w:rPr>
          <w:rFonts w:cs="Arial"/>
        </w:rPr>
      </w:pPr>
      <w:r>
        <w:t xml:space="preserve"> </w:t>
      </w:r>
      <w:r w:rsidRPr="00E00491">
        <w:rPr>
          <w:rFonts w:cs="Arial"/>
        </w:rPr>
        <w:t>MOT bay (charge 107) – No change is proposed to MOT charges due to competition in the local market.</w:t>
      </w:r>
    </w:p>
    <w:p w14:paraId="7B7683B7" w14:textId="77777777" w:rsidR="00FB3A25" w:rsidRPr="00E00491" w:rsidRDefault="00FB3A25" w:rsidP="00FB3A25">
      <w:pPr>
        <w:pStyle w:val="ListParagraph"/>
        <w:numPr>
          <w:ilvl w:val="0"/>
          <w:numId w:val="63"/>
        </w:numPr>
        <w:spacing w:after="200"/>
        <w:jc w:val="both"/>
      </w:pPr>
      <w:r w:rsidRPr="00E00491">
        <w:t xml:space="preserve"> Electric Vehicle Charging Points (charge 118) – The unlocking fee </w:t>
      </w:r>
      <w:r>
        <w:t xml:space="preserve">and charging fee are </w:t>
      </w:r>
      <w:r w:rsidRPr="00E00491">
        <w:t xml:space="preserve">kept at the same level as 2021/22 in order to incentivise electric vehicle ownership and use. </w:t>
      </w:r>
    </w:p>
    <w:p w14:paraId="0CA7EE55" w14:textId="77777777" w:rsidR="00FB3A25" w:rsidRPr="00BC5E4E" w:rsidRDefault="00FB3A25" w:rsidP="00EB25BD">
      <w:pPr>
        <w:numPr>
          <w:ilvl w:val="0"/>
          <w:numId w:val="63"/>
        </w:numPr>
        <w:spacing w:after="200"/>
        <w:jc w:val="both"/>
        <w:rPr>
          <w:rFonts w:cs="Arial"/>
        </w:rPr>
      </w:pPr>
      <w:r w:rsidRPr="00E00491">
        <w:t xml:space="preserve"> </w:t>
      </w:r>
      <w:r w:rsidRPr="00E00491">
        <w:rPr>
          <w:rFonts w:cs="Arial"/>
        </w:rPr>
        <w:t>Learn Harrow (charge 128) – course fees are kept at 202</w:t>
      </w:r>
      <w:r>
        <w:rPr>
          <w:rFonts w:cs="Arial"/>
        </w:rPr>
        <w:t>1/22</w:t>
      </w:r>
      <w:r w:rsidRPr="00E00491">
        <w:rPr>
          <w:rFonts w:cs="Arial"/>
        </w:rPr>
        <w:t xml:space="preserve"> level to encourage uptake by learners. </w:t>
      </w:r>
      <w:r>
        <w:rPr>
          <w:rFonts w:cs="Arial"/>
        </w:rPr>
        <w:t xml:space="preserve">Learn Harrow targets those out of work or earning less than </w:t>
      </w:r>
      <w:r w:rsidRPr="00BC5E4E">
        <w:rPr>
          <w:rFonts w:cs="Arial"/>
        </w:rPr>
        <w:t>London Living Wage and therefore proposes no increase in fee. Registration fees for Targeted Community Learning and Adults Skills courses are also removed.</w:t>
      </w:r>
    </w:p>
    <w:p w14:paraId="216EE742" w14:textId="123A1336" w:rsidR="00FB3A25" w:rsidRPr="00BC5E4E" w:rsidRDefault="00FB3A25" w:rsidP="00FB3A25">
      <w:pPr>
        <w:pStyle w:val="ListParagraph"/>
        <w:numPr>
          <w:ilvl w:val="0"/>
          <w:numId w:val="63"/>
        </w:numPr>
        <w:spacing w:after="200"/>
      </w:pPr>
      <w:r w:rsidRPr="00BC5E4E">
        <w:rPr>
          <w:rFonts w:cs="Arial"/>
        </w:rPr>
        <w:t xml:space="preserve"> Building Control (charge 120) – Following a benchmarking exercise, the majority</w:t>
      </w:r>
      <w:r>
        <w:rPr>
          <w:rFonts w:cs="Arial"/>
        </w:rPr>
        <w:t xml:space="preserve"> </w:t>
      </w:r>
      <w:r w:rsidRPr="00BC5E4E">
        <w:rPr>
          <w:rFonts w:cs="Arial"/>
        </w:rPr>
        <w:t xml:space="preserve">of </w:t>
      </w:r>
      <w:r>
        <w:rPr>
          <w:rFonts w:cs="Arial"/>
        </w:rPr>
        <w:t>fees</w:t>
      </w:r>
      <w:r w:rsidRPr="00BC5E4E">
        <w:rPr>
          <w:rFonts w:cs="Arial"/>
        </w:rPr>
        <w:t xml:space="preserve"> </w:t>
      </w:r>
      <w:r>
        <w:rPr>
          <w:rFonts w:cs="Arial"/>
        </w:rPr>
        <w:t>are kept</w:t>
      </w:r>
      <w:r w:rsidRPr="00BC5E4E">
        <w:rPr>
          <w:rFonts w:cs="Arial"/>
        </w:rPr>
        <w:t xml:space="preserve"> at 2021/22 level with the exception of certain types of work (see </w:t>
      </w:r>
      <w:r w:rsidR="008100CD">
        <w:rPr>
          <w:rFonts w:cs="Arial"/>
        </w:rPr>
        <w:t>paragraph 31</w:t>
      </w:r>
      <w:r w:rsidRPr="00BC5E4E">
        <w:rPr>
          <w:rFonts w:cs="Arial"/>
        </w:rPr>
        <w:t>). There is also competition from the private sector, therefore no increase is proposed in order to maintain our market share.</w:t>
      </w:r>
      <w:r w:rsidRPr="00BC5E4E">
        <w:t xml:space="preserve"> </w:t>
      </w:r>
    </w:p>
    <w:p w14:paraId="36AA812E" w14:textId="77777777" w:rsidR="00FB3A25" w:rsidRPr="008601F2" w:rsidRDefault="00FB3A25" w:rsidP="00FB3A25">
      <w:pPr>
        <w:pStyle w:val="ListParagraph"/>
        <w:numPr>
          <w:ilvl w:val="0"/>
          <w:numId w:val="63"/>
        </w:numPr>
        <w:spacing w:after="200"/>
      </w:pPr>
      <w:r w:rsidRPr="008601F2">
        <w:t xml:space="preserve"> Housing Temporary Accommodation (charge 98) - No change from the 202</w:t>
      </w:r>
      <w:r>
        <w:t>1/22</w:t>
      </w:r>
      <w:r w:rsidRPr="008601F2">
        <w:t xml:space="preserve"> rates as the maximum amount of Subsidy which can be claimed remains at 90% x Local Housing Allowance (LHA) 2011 rates. Where temporary accommodation is leased by a Local Authority and provided to the homeless family / person, the maximum amount recoverable through the Housing Benefit system is restricted to 90% x LHA rates as they stood in 2011. The amount of LHA which can be claimed by homeless families / persons where the private accommodation is not provided through the Local Authority, is not restricted and is paid to the claimant at the prevailing rates for that financial year.</w:t>
      </w:r>
    </w:p>
    <w:p w14:paraId="462A9003" w14:textId="77777777" w:rsidR="00FB3A25" w:rsidRPr="008601F2" w:rsidRDefault="00FB3A25" w:rsidP="00FB3A25">
      <w:pPr>
        <w:numPr>
          <w:ilvl w:val="0"/>
          <w:numId w:val="63"/>
        </w:numPr>
        <w:spacing w:after="200"/>
        <w:jc w:val="both"/>
        <w:rPr>
          <w:rFonts w:cs="Arial"/>
        </w:rPr>
      </w:pPr>
      <w:r w:rsidRPr="008601F2">
        <w:rPr>
          <w:rFonts w:cs="Arial"/>
        </w:rPr>
        <w:t xml:space="preserve"> </w:t>
      </w:r>
      <w:r w:rsidRPr="008601F2">
        <w:t>Housing units under Property Acquisition Programme (charge 99) - As Local Authority owned accommodation, rent can be set at what is considered a reasonable market rent and not restricted to 90% x LHA 2011 rates. Therefore, prevailing LHA rates for the financial year is considered reasonable. LHA rates for 2022/23 have not yet been published although these are expected to increase at a rate below 3%.</w:t>
      </w:r>
    </w:p>
    <w:p w14:paraId="69E395CF" w14:textId="62FF67A8" w:rsidR="00FB3A25" w:rsidRPr="008601F2" w:rsidRDefault="00FB3A25" w:rsidP="00FB3A25">
      <w:pPr>
        <w:numPr>
          <w:ilvl w:val="0"/>
          <w:numId w:val="63"/>
        </w:numPr>
        <w:spacing w:after="200"/>
        <w:rPr>
          <w:rFonts w:cs="Arial"/>
        </w:rPr>
      </w:pPr>
      <w:r w:rsidRPr="008601F2">
        <w:rPr>
          <w:rFonts w:cs="Arial"/>
        </w:rPr>
        <w:lastRenderedPageBreak/>
        <w:t xml:space="preserve"> Housing Adaptations (charge 100) - Fees for specialised adaptations for </w:t>
      </w:r>
      <w:r w:rsidR="00EB25BD">
        <w:rPr>
          <w:rFonts w:cs="Arial"/>
        </w:rPr>
        <w:t xml:space="preserve"> </w:t>
      </w:r>
      <w:r w:rsidRPr="008601F2">
        <w:rPr>
          <w:rFonts w:cs="Arial"/>
        </w:rPr>
        <w:t>disabled persons in both private and Council owned accommodation remain unchanged at 21% which is included within the base budget and considered a fair estimate of the specialised nature of the professional services associated with these works.</w:t>
      </w:r>
    </w:p>
    <w:p w14:paraId="1DC8C8FB" w14:textId="7DA4D73F" w:rsidR="00EB1556" w:rsidRDefault="00AD4F27" w:rsidP="00D63F67">
      <w:pPr>
        <w:spacing w:after="200"/>
        <w:ind w:firstLine="360"/>
        <w:jc w:val="both"/>
        <w:rPr>
          <w:b/>
        </w:rPr>
      </w:pPr>
      <w:r w:rsidRPr="00AF39CF">
        <w:rPr>
          <w:b/>
        </w:rPr>
        <w:t xml:space="preserve">Fees that </w:t>
      </w:r>
      <w:r w:rsidR="0073570E">
        <w:rPr>
          <w:b/>
        </w:rPr>
        <w:t>are proposed to</w:t>
      </w:r>
      <w:r w:rsidRPr="00AF39CF">
        <w:rPr>
          <w:b/>
        </w:rPr>
        <w:t xml:space="preserve"> increase above the inflationary guidelines:</w:t>
      </w:r>
    </w:p>
    <w:p w14:paraId="3D10FDA2" w14:textId="77777777" w:rsidR="00D020E2" w:rsidRDefault="00D020E2" w:rsidP="00D020E2">
      <w:pPr>
        <w:pStyle w:val="ListParagraph"/>
        <w:numPr>
          <w:ilvl w:val="0"/>
          <w:numId w:val="96"/>
        </w:numPr>
        <w:spacing w:after="200"/>
        <w:ind w:left="426" w:hanging="426"/>
        <w:jc w:val="both"/>
        <w:rPr>
          <w:rFonts w:cs="Arial"/>
        </w:rPr>
      </w:pPr>
      <w:r>
        <w:rPr>
          <w:rFonts w:cs="Arial"/>
        </w:rPr>
        <w:t xml:space="preserve">Table and Chairs </w:t>
      </w:r>
      <w:r w:rsidRPr="00E42BC6">
        <w:rPr>
          <w:rFonts w:cs="Arial"/>
        </w:rPr>
        <w:t>on the Highway licence</w:t>
      </w:r>
      <w:r>
        <w:rPr>
          <w:rFonts w:cs="Arial"/>
        </w:rPr>
        <w:t xml:space="preserve"> (charge 21) – the fee for a pavement licence is </w:t>
      </w:r>
      <w:r w:rsidRPr="00BC5E4E">
        <w:rPr>
          <w:rFonts w:cs="Arial"/>
        </w:rPr>
        <w:t xml:space="preserve">increased </w:t>
      </w:r>
      <w:r w:rsidRPr="00BC5E4E">
        <w:t xml:space="preserve">to the statutory maximum to move towards cost recovery of processing the licence.  </w:t>
      </w:r>
    </w:p>
    <w:p w14:paraId="4FDF0AAA" w14:textId="77777777" w:rsidR="00D020E2" w:rsidRDefault="00D020E2" w:rsidP="00D020E2">
      <w:pPr>
        <w:pStyle w:val="ListParagraph"/>
        <w:numPr>
          <w:ilvl w:val="0"/>
          <w:numId w:val="96"/>
        </w:numPr>
        <w:spacing w:after="200"/>
        <w:ind w:left="426" w:hanging="426"/>
        <w:jc w:val="both"/>
        <w:rPr>
          <w:rFonts w:cs="Arial"/>
        </w:rPr>
      </w:pPr>
      <w:r>
        <w:rPr>
          <w:rFonts w:cs="Arial"/>
        </w:rPr>
        <w:t xml:space="preserve">Car parking Charges (charge 37a) – The Pay &amp; Display charges for Harrow on the Hill controlled parking zone are increased in line with the </w:t>
      </w:r>
      <w:r w:rsidRPr="003C0D29">
        <w:rPr>
          <w:rFonts w:cs="Arial"/>
        </w:rPr>
        <w:t>published traffic order</w:t>
      </w:r>
      <w:r>
        <w:rPr>
          <w:rFonts w:cs="Arial"/>
        </w:rPr>
        <w:t xml:space="preserve"> and the parking charging strategy, which set out the charges and timeline following its implementation.</w:t>
      </w:r>
    </w:p>
    <w:p w14:paraId="3AA8FB4B" w14:textId="77777777" w:rsidR="00D020E2" w:rsidRDefault="00D020E2" w:rsidP="00D020E2">
      <w:pPr>
        <w:pStyle w:val="ListParagraph"/>
        <w:numPr>
          <w:ilvl w:val="0"/>
          <w:numId w:val="96"/>
        </w:numPr>
        <w:spacing w:after="200"/>
        <w:ind w:left="426" w:hanging="426"/>
        <w:jc w:val="both"/>
        <w:rPr>
          <w:rFonts w:cs="Arial"/>
        </w:rPr>
      </w:pPr>
      <w:r>
        <w:rPr>
          <w:rFonts w:cs="Arial"/>
        </w:rPr>
        <w:t xml:space="preserve">Building Control (charge 120) – Following a review of officers time spent on undertaking certain types of work, it is necessary to reflect the appropriate hours required in the fees and therefore an increase in fees is proposed for the following categories:  </w:t>
      </w:r>
    </w:p>
    <w:p w14:paraId="7FBD366C" w14:textId="77777777" w:rsidR="00D020E2" w:rsidRDefault="00D020E2" w:rsidP="00D020E2">
      <w:pPr>
        <w:pStyle w:val="ListParagraph"/>
        <w:numPr>
          <w:ilvl w:val="0"/>
          <w:numId w:val="102"/>
        </w:numPr>
        <w:spacing w:after="200"/>
        <w:jc w:val="both"/>
        <w:rPr>
          <w:rFonts w:cs="Arial"/>
        </w:rPr>
      </w:pPr>
      <w:r>
        <w:rPr>
          <w:rFonts w:cs="Arial"/>
        </w:rPr>
        <w:t xml:space="preserve">Domestic </w:t>
      </w:r>
      <w:r w:rsidRPr="0039097B">
        <w:rPr>
          <w:rFonts w:cs="Arial"/>
        </w:rPr>
        <w:t>Extensions &amp; Alterations to a single dwelling Garage and Car Ports</w:t>
      </w:r>
      <w:r>
        <w:rPr>
          <w:rFonts w:cs="Arial"/>
        </w:rPr>
        <w:t xml:space="preserve"> (charge 120(J))</w:t>
      </w:r>
    </w:p>
    <w:p w14:paraId="18DDC6B2" w14:textId="77777777" w:rsidR="00D020E2" w:rsidRDefault="00D020E2" w:rsidP="00D020E2">
      <w:pPr>
        <w:pStyle w:val="ListParagraph"/>
        <w:numPr>
          <w:ilvl w:val="0"/>
          <w:numId w:val="102"/>
        </w:numPr>
        <w:spacing w:after="200"/>
        <w:jc w:val="both"/>
        <w:rPr>
          <w:rFonts w:cs="Arial"/>
        </w:rPr>
      </w:pPr>
      <w:r w:rsidRPr="0039097B">
        <w:rPr>
          <w:rFonts w:cs="Arial"/>
        </w:rPr>
        <w:t>Domestic Alterations to a single dwellin</w:t>
      </w:r>
      <w:r>
        <w:rPr>
          <w:rFonts w:cs="Arial"/>
        </w:rPr>
        <w:t xml:space="preserve">g </w:t>
      </w:r>
      <w:r w:rsidRPr="0039097B">
        <w:rPr>
          <w:rFonts w:cs="Arial"/>
        </w:rPr>
        <w:t>(General Alterations)</w:t>
      </w:r>
      <w:r>
        <w:rPr>
          <w:rFonts w:cs="Arial"/>
        </w:rPr>
        <w:t xml:space="preserve"> (charge 120(I))</w:t>
      </w:r>
    </w:p>
    <w:p w14:paraId="0F1C5F14" w14:textId="77777777" w:rsidR="00D020E2" w:rsidRDefault="00D020E2" w:rsidP="00D020E2">
      <w:pPr>
        <w:pStyle w:val="ListParagraph"/>
        <w:numPr>
          <w:ilvl w:val="0"/>
          <w:numId w:val="102"/>
        </w:numPr>
        <w:spacing w:after="200"/>
        <w:jc w:val="both"/>
        <w:rPr>
          <w:rFonts w:cs="Arial"/>
        </w:rPr>
      </w:pPr>
      <w:r w:rsidRPr="0039097B">
        <w:rPr>
          <w:rFonts w:cs="Arial"/>
        </w:rPr>
        <w:t>Non</w:t>
      </w:r>
      <w:r>
        <w:rPr>
          <w:rFonts w:cs="Arial"/>
        </w:rPr>
        <w:t>-</w:t>
      </w:r>
      <w:r w:rsidRPr="0039097B">
        <w:rPr>
          <w:rFonts w:cs="Arial"/>
        </w:rPr>
        <w:t xml:space="preserve">Domestic Work </w:t>
      </w:r>
      <w:r>
        <w:rPr>
          <w:rFonts w:cs="Arial"/>
        </w:rPr>
        <w:t>–</w:t>
      </w:r>
      <w:r w:rsidRPr="0039097B">
        <w:rPr>
          <w:rFonts w:cs="Arial"/>
        </w:rPr>
        <w:t xml:space="preserve"> Non</w:t>
      </w:r>
      <w:r>
        <w:rPr>
          <w:rFonts w:cs="Arial"/>
        </w:rPr>
        <w:t>-</w:t>
      </w:r>
      <w:r w:rsidRPr="0039097B">
        <w:rPr>
          <w:rFonts w:cs="Arial"/>
        </w:rPr>
        <w:t>Domestic work alterations (underpinning)</w:t>
      </w:r>
      <w:r>
        <w:rPr>
          <w:rFonts w:cs="Arial"/>
        </w:rPr>
        <w:t xml:space="preserve"> (charge 120(Q))</w:t>
      </w:r>
    </w:p>
    <w:p w14:paraId="11AB4D2A" w14:textId="77777777" w:rsidR="00AD4F27" w:rsidRDefault="00AD4F27" w:rsidP="007024F1">
      <w:pPr>
        <w:spacing w:after="200"/>
        <w:ind w:left="360"/>
        <w:jc w:val="both"/>
        <w:rPr>
          <w:b/>
        </w:rPr>
      </w:pPr>
      <w:r w:rsidRPr="007024F1">
        <w:rPr>
          <w:b/>
        </w:rPr>
        <w:t>Introduction of new fees or new categories to fees:</w:t>
      </w:r>
    </w:p>
    <w:p w14:paraId="5F058D5A" w14:textId="77777777" w:rsidR="00D020E2" w:rsidRDefault="00D020E2" w:rsidP="00D020E2">
      <w:pPr>
        <w:pStyle w:val="ListParagraph"/>
        <w:numPr>
          <w:ilvl w:val="0"/>
          <w:numId w:val="96"/>
        </w:numPr>
        <w:spacing w:after="200"/>
        <w:ind w:left="426" w:hanging="426"/>
        <w:jc w:val="both"/>
        <w:rPr>
          <w:rFonts w:cs="Arial"/>
        </w:rPr>
      </w:pPr>
      <w:r>
        <w:rPr>
          <w:rFonts w:cs="Arial"/>
        </w:rPr>
        <w:t xml:space="preserve">Vehicle Crossing (charge 19a) - </w:t>
      </w:r>
      <w:r w:rsidRPr="008B2762">
        <w:rPr>
          <w:rFonts w:cs="Arial"/>
        </w:rPr>
        <w:t xml:space="preserve">A </w:t>
      </w:r>
      <w:r>
        <w:rPr>
          <w:rFonts w:cs="Arial"/>
        </w:rPr>
        <w:t xml:space="preserve">new </w:t>
      </w:r>
      <w:r w:rsidRPr="008B2762">
        <w:rPr>
          <w:rFonts w:cs="Arial"/>
        </w:rPr>
        <w:t>charge</w:t>
      </w:r>
      <w:r>
        <w:rPr>
          <w:rFonts w:cs="Arial"/>
        </w:rPr>
        <w:t xml:space="preserve"> is required to cover the cost of </w:t>
      </w:r>
      <w:r w:rsidRPr="008B2762">
        <w:rPr>
          <w:rFonts w:cs="Arial"/>
        </w:rPr>
        <w:t>remov</w:t>
      </w:r>
      <w:r>
        <w:rPr>
          <w:rFonts w:cs="Arial"/>
        </w:rPr>
        <w:t>ing</w:t>
      </w:r>
      <w:r w:rsidRPr="008B2762">
        <w:rPr>
          <w:rFonts w:cs="Arial"/>
        </w:rPr>
        <w:t xml:space="preserve"> / amend</w:t>
      </w:r>
      <w:r>
        <w:rPr>
          <w:rFonts w:cs="Arial"/>
        </w:rPr>
        <w:t>ing</w:t>
      </w:r>
      <w:r w:rsidRPr="008B2762">
        <w:rPr>
          <w:rFonts w:cs="Arial"/>
        </w:rPr>
        <w:t xml:space="preserve"> a controlled parking bay on the highway to allow a proposed crossing application to proceed. This requires a legal process under the Road Traffic Regulation Act and a statutory consultation to be undertaken. </w:t>
      </w:r>
    </w:p>
    <w:p w14:paraId="730C8DBC" w14:textId="6DE731AE" w:rsidR="00D020E2" w:rsidRDefault="00D020E2" w:rsidP="00D020E2">
      <w:pPr>
        <w:pStyle w:val="ListParagraph"/>
        <w:numPr>
          <w:ilvl w:val="0"/>
          <w:numId w:val="96"/>
        </w:numPr>
        <w:spacing w:after="200"/>
        <w:ind w:left="426" w:hanging="426"/>
        <w:jc w:val="both"/>
        <w:rPr>
          <w:rFonts w:cs="Arial"/>
        </w:rPr>
      </w:pPr>
      <w:r>
        <w:rPr>
          <w:rFonts w:cs="Arial"/>
        </w:rPr>
        <w:t xml:space="preserve">Contractors Permits (charge 37h) – Due to limitations of the parking management software currently, it is not possible to categorise fees by vehicle fuel type. </w:t>
      </w:r>
      <w:r w:rsidR="00EB25BD">
        <w:rPr>
          <w:rFonts w:cs="Arial"/>
        </w:rPr>
        <w:t>Therefore,</w:t>
      </w:r>
      <w:r>
        <w:rPr>
          <w:rFonts w:cs="Arial"/>
        </w:rPr>
        <w:t xml:space="preserve"> the fees structure has been amended to give daily / weekly / monthly charges by centre instead. </w:t>
      </w:r>
    </w:p>
    <w:p w14:paraId="43A64F8C" w14:textId="77777777" w:rsidR="00D020E2" w:rsidRDefault="00D020E2" w:rsidP="00D020E2">
      <w:pPr>
        <w:pStyle w:val="ListParagraph"/>
        <w:numPr>
          <w:ilvl w:val="0"/>
          <w:numId w:val="96"/>
        </w:numPr>
        <w:spacing w:after="200"/>
        <w:ind w:left="426" w:hanging="426"/>
        <w:jc w:val="both"/>
        <w:rPr>
          <w:rFonts w:cs="Arial"/>
        </w:rPr>
      </w:pPr>
      <w:r>
        <w:rPr>
          <w:rFonts w:cs="Arial"/>
        </w:rPr>
        <w:t xml:space="preserve"> Doctors Permits (charge 37i) – As permits are not issued to specific vehicles at GP surgery, the charges are now standardised and no longer charged by vehicle fuel type. There is also a limit of maximum 5 permits per surgery.</w:t>
      </w:r>
    </w:p>
    <w:p w14:paraId="5E467736" w14:textId="77777777" w:rsidR="00D020E2" w:rsidRDefault="00D020E2" w:rsidP="00D020E2">
      <w:pPr>
        <w:pStyle w:val="ListParagraph"/>
        <w:numPr>
          <w:ilvl w:val="0"/>
          <w:numId w:val="96"/>
        </w:numPr>
        <w:spacing w:after="200"/>
        <w:ind w:left="426" w:hanging="426"/>
        <w:jc w:val="both"/>
        <w:rPr>
          <w:rFonts w:cs="Arial"/>
        </w:rPr>
      </w:pPr>
      <w:r w:rsidRPr="006039B1">
        <w:rPr>
          <w:rFonts w:cs="Arial"/>
        </w:rPr>
        <w:t>Road Traffic Regulation</w:t>
      </w:r>
      <w:r>
        <w:rPr>
          <w:rFonts w:cs="Arial"/>
        </w:rPr>
        <w:t xml:space="preserve"> (charge 38) – A new charge is introduced for the extension of s</w:t>
      </w:r>
      <w:r w:rsidRPr="006039B1">
        <w:rPr>
          <w:rFonts w:cs="Arial"/>
        </w:rPr>
        <w:t>uspension of parking places administration</w:t>
      </w:r>
      <w:r>
        <w:rPr>
          <w:rFonts w:cs="Arial"/>
        </w:rPr>
        <w:t>. This is to cover the administration cost of any extension requests from work contractors.</w:t>
      </w:r>
    </w:p>
    <w:p w14:paraId="24647ECA" w14:textId="59B53429" w:rsidR="00CD2342" w:rsidRPr="007606F6" w:rsidRDefault="00D020E2" w:rsidP="00EB6498">
      <w:pPr>
        <w:pStyle w:val="ListParagraph"/>
        <w:numPr>
          <w:ilvl w:val="0"/>
          <w:numId w:val="96"/>
        </w:numPr>
        <w:spacing w:after="200"/>
        <w:ind w:left="426" w:hanging="426"/>
        <w:jc w:val="both"/>
        <w:rPr>
          <w:rFonts w:cs="Arial"/>
        </w:rPr>
      </w:pPr>
      <w:r>
        <w:rPr>
          <w:rFonts w:cs="Arial"/>
        </w:rPr>
        <w:t xml:space="preserve">Animal Welfare Licences for Pet Shops (charge 69), Breeding Establishment for Dogs (charge 72), Animal Boarding Establishment (charge 80), Performing Animals (charge 82) and Riding Establishment and </w:t>
      </w:r>
      <w:r w:rsidRPr="00215ED8">
        <w:rPr>
          <w:rFonts w:cs="Arial"/>
        </w:rPr>
        <w:t>Pet Vending/Sale of Pets (charge 83) – the charges are reviewed and standardised for new applications</w:t>
      </w:r>
      <w:r>
        <w:rPr>
          <w:rFonts w:cs="Arial"/>
        </w:rPr>
        <w:t xml:space="preserve">, renewals and </w:t>
      </w:r>
      <w:r w:rsidRPr="0099587D">
        <w:rPr>
          <w:rFonts w:cs="Arial"/>
        </w:rPr>
        <w:t xml:space="preserve">reassessment of star </w:t>
      </w:r>
      <w:r w:rsidRPr="0099587D">
        <w:rPr>
          <w:rFonts w:cs="Arial"/>
        </w:rPr>
        <w:lastRenderedPageBreak/>
        <w:t>rating visit</w:t>
      </w:r>
      <w:r>
        <w:rPr>
          <w:rFonts w:cs="Arial"/>
        </w:rPr>
        <w:t xml:space="preserve"> to reflect the cost of processing requests. New charges are also introduced for variation or transfer of an animal welfare licence.</w:t>
      </w:r>
    </w:p>
    <w:p w14:paraId="205EDC31" w14:textId="77777777" w:rsidR="004E25EA" w:rsidRPr="00EB6498" w:rsidRDefault="004E25EA" w:rsidP="00EB6498">
      <w:pPr>
        <w:rPr>
          <w:b/>
          <w:u w:val="single"/>
        </w:rPr>
      </w:pPr>
      <w:r w:rsidRPr="00EB6498">
        <w:rPr>
          <w:b/>
          <w:u w:val="single"/>
        </w:rPr>
        <w:t xml:space="preserve">Resources </w:t>
      </w:r>
      <w:r w:rsidR="00111723" w:rsidRPr="00EB6498">
        <w:rPr>
          <w:b/>
          <w:u w:val="single"/>
        </w:rPr>
        <w:t>Directorate</w:t>
      </w:r>
      <w:r w:rsidRPr="00EB6498">
        <w:rPr>
          <w:b/>
          <w:u w:val="single"/>
        </w:rPr>
        <w:t xml:space="preserve"> (Appendix </w:t>
      </w:r>
      <w:r w:rsidR="00E30173" w:rsidRPr="00EB6498">
        <w:rPr>
          <w:b/>
          <w:u w:val="single"/>
        </w:rPr>
        <w:t>3</w:t>
      </w:r>
      <w:r w:rsidRPr="00EB6498">
        <w:rPr>
          <w:b/>
          <w:u w:val="single"/>
        </w:rPr>
        <w:t>)</w:t>
      </w:r>
    </w:p>
    <w:p w14:paraId="723203B6" w14:textId="77777777" w:rsidR="009A04CF" w:rsidRPr="0038057F" w:rsidRDefault="009A04CF" w:rsidP="007024F1">
      <w:pPr>
        <w:ind w:firstLine="360"/>
        <w:jc w:val="both"/>
        <w:rPr>
          <w:b/>
          <w:u w:val="single"/>
        </w:rPr>
      </w:pPr>
    </w:p>
    <w:p w14:paraId="03C55B00" w14:textId="73B48852" w:rsidR="004E25EA" w:rsidRPr="00EB6498" w:rsidRDefault="004E25EA" w:rsidP="00EB6498">
      <w:pPr>
        <w:pStyle w:val="ListParagraph"/>
        <w:numPr>
          <w:ilvl w:val="0"/>
          <w:numId w:val="96"/>
        </w:numPr>
        <w:ind w:left="426" w:hanging="426"/>
        <w:rPr>
          <w:rFonts w:cs="Arial"/>
        </w:rPr>
      </w:pPr>
      <w:r w:rsidRPr="00D63F67">
        <w:rPr>
          <w:rFonts w:cs="Arial"/>
        </w:rPr>
        <w:t>The proposed fees and charges for 20</w:t>
      </w:r>
      <w:r w:rsidR="00111723" w:rsidRPr="00D63F67">
        <w:rPr>
          <w:rFonts w:cs="Arial"/>
        </w:rPr>
        <w:t>2</w:t>
      </w:r>
      <w:r w:rsidR="00D020E2">
        <w:rPr>
          <w:rFonts w:cs="Arial"/>
        </w:rPr>
        <w:t>2</w:t>
      </w:r>
      <w:r w:rsidRPr="00D63F67">
        <w:rPr>
          <w:rFonts w:cs="Arial"/>
        </w:rPr>
        <w:t>/2</w:t>
      </w:r>
      <w:r w:rsidR="00D020E2">
        <w:rPr>
          <w:rFonts w:cs="Arial"/>
        </w:rPr>
        <w:t>3</w:t>
      </w:r>
      <w:r w:rsidRPr="00D63F67">
        <w:rPr>
          <w:rFonts w:cs="Arial"/>
        </w:rPr>
        <w:t xml:space="preserve"> for the Resources Directorate are detailed in Appendix 3.</w:t>
      </w:r>
    </w:p>
    <w:p w14:paraId="69B765C9" w14:textId="1D95E953" w:rsidR="008100CD" w:rsidRPr="00022045" w:rsidRDefault="008100CD" w:rsidP="008100CD">
      <w:pPr>
        <w:jc w:val="both"/>
        <w:rPr>
          <w:rFonts w:ascii="Calibri" w:hAnsi="Calibri" w:cs="Calibri"/>
          <w:sz w:val="22"/>
          <w:szCs w:val="22"/>
          <w:lang w:eastAsia="en-GB"/>
        </w:rPr>
      </w:pPr>
    </w:p>
    <w:p w14:paraId="615789A5" w14:textId="78B2C787" w:rsidR="0038057F" w:rsidRPr="00022045" w:rsidRDefault="00CD2342" w:rsidP="00EB6498">
      <w:pPr>
        <w:pStyle w:val="ListParagraph"/>
        <w:numPr>
          <w:ilvl w:val="0"/>
          <w:numId w:val="96"/>
        </w:numPr>
        <w:ind w:left="426" w:hanging="426"/>
        <w:jc w:val="both"/>
        <w:rPr>
          <w:rFonts w:cs="Arial"/>
        </w:rPr>
      </w:pPr>
      <w:r>
        <w:rPr>
          <w:rFonts w:cs="Arial"/>
        </w:rPr>
        <w:t xml:space="preserve">Helpline </w:t>
      </w:r>
      <w:r w:rsidRPr="00AC450E">
        <w:rPr>
          <w:rFonts w:cs="Arial"/>
        </w:rPr>
        <w:t xml:space="preserve">and Telecare </w:t>
      </w:r>
      <w:r w:rsidRPr="00CF5560">
        <w:rPr>
          <w:rFonts w:cs="Arial"/>
          <w:b/>
        </w:rPr>
        <w:t>(charge 2)</w:t>
      </w:r>
      <w:r w:rsidRPr="00DF391A">
        <w:rPr>
          <w:rFonts w:cs="Arial"/>
        </w:rPr>
        <w:t xml:space="preserve"> - The 2</w:t>
      </w:r>
      <w:r w:rsidRPr="00DA3A51">
        <w:rPr>
          <w:rFonts w:cs="Arial"/>
        </w:rPr>
        <w:t>02</w:t>
      </w:r>
      <w:r w:rsidRPr="00022045">
        <w:rPr>
          <w:rFonts w:cs="Arial"/>
        </w:rPr>
        <w:t>2/23 charges have not been increased in order for the pricing to remain competitive with other service providers in the marketplace who provide this service to vul</w:t>
      </w:r>
      <w:r w:rsidR="00F70FA5">
        <w:rPr>
          <w:rFonts w:cs="Arial"/>
        </w:rPr>
        <w:t>n</w:t>
      </w:r>
      <w:r w:rsidRPr="00022045">
        <w:rPr>
          <w:rFonts w:cs="Arial"/>
        </w:rPr>
        <w:t>erable residents in the Community.</w:t>
      </w:r>
    </w:p>
    <w:p w14:paraId="764867EA" w14:textId="77777777" w:rsidR="004E25EA" w:rsidRPr="00022045" w:rsidRDefault="004E25EA" w:rsidP="00EB6498">
      <w:pPr>
        <w:pStyle w:val="ListParagraph"/>
        <w:ind w:left="426" w:hanging="426"/>
        <w:jc w:val="both"/>
        <w:rPr>
          <w:rFonts w:cs="Arial"/>
        </w:rPr>
      </w:pPr>
    </w:p>
    <w:p w14:paraId="52C76834" w14:textId="2B21EAEE" w:rsidR="004E25EA" w:rsidRPr="00022045" w:rsidRDefault="004E25EA" w:rsidP="00EB6498">
      <w:pPr>
        <w:pStyle w:val="ListParagraph"/>
        <w:numPr>
          <w:ilvl w:val="0"/>
          <w:numId w:val="96"/>
        </w:numPr>
        <w:ind w:left="426" w:hanging="426"/>
        <w:jc w:val="both"/>
        <w:rPr>
          <w:rFonts w:cs="Arial"/>
        </w:rPr>
      </w:pPr>
      <w:r w:rsidRPr="00AC450E">
        <w:rPr>
          <w:rFonts w:cs="Arial"/>
        </w:rPr>
        <w:t xml:space="preserve">Fees and charges </w:t>
      </w:r>
      <w:r w:rsidRPr="00CF5560">
        <w:rPr>
          <w:rFonts w:cs="Arial"/>
          <w:b/>
        </w:rPr>
        <w:t xml:space="preserve">(charges 4 to </w:t>
      </w:r>
      <w:r w:rsidR="00AC450E" w:rsidRPr="00022045">
        <w:rPr>
          <w:rFonts w:cs="Arial"/>
          <w:b/>
        </w:rPr>
        <w:t>5</w:t>
      </w:r>
      <w:r w:rsidRPr="00022045">
        <w:rPr>
          <w:rFonts w:cs="Arial"/>
          <w:b/>
        </w:rPr>
        <w:t>)</w:t>
      </w:r>
      <w:r w:rsidRPr="00022045">
        <w:rPr>
          <w:rFonts w:cs="Arial"/>
        </w:rPr>
        <w:t xml:space="preserve"> covering Local Land charges, citizenship ceremonies, nationality checking and marriage &amp; civil partnership </w:t>
      </w:r>
      <w:r w:rsidR="006C7CAD" w:rsidRPr="00022045">
        <w:rPr>
          <w:rFonts w:cs="Arial"/>
        </w:rPr>
        <w:t xml:space="preserve">for </w:t>
      </w:r>
      <w:r w:rsidRPr="00022045">
        <w:rPr>
          <w:rFonts w:cs="Arial"/>
        </w:rPr>
        <w:t>20</w:t>
      </w:r>
      <w:r w:rsidR="0038057F" w:rsidRPr="00022045">
        <w:rPr>
          <w:rFonts w:cs="Arial"/>
        </w:rPr>
        <w:t>2</w:t>
      </w:r>
      <w:r w:rsidR="008100CD" w:rsidRPr="00022045">
        <w:rPr>
          <w:rFonts w:cs="Arial"/>
        </w:rPr>
        <w:t>2</w:t>
      </w:r>
      <w:r w:rsidRPr="00022045">
        <w:rPr>
          <w:rFonts w:cs="Arial"/>
        </w:rPr>
        <w:t>/</w:t>
      </w:r>
      <w:r w:rsidR="006C7CAD" w:rsidRPr="00022045">
        <w:rPr>
          <w:rFonts w:cs="Arial"/>
        </w:rPr>
        <w:t>2</w:t>
      </w:r>
      <w:r w:rsidR="008100CD" w:rsidRPr="00022045">
        <w:rPr>
          <w:rFonts w:cs="Arial"/>
        </w:rPr>
        <w:t>3</w:t>
      </w:r>
      <w:r w:rsidR="006C7CAD" w:rsidRPr="00022045">
        <w:rPr>
          <w:rFonts w:cs="Arial"/>
        </w:rPr>
        <w:t xml:space="preserve"> have been </w:t>
      </w:r>
      <w:r w:rsidRPr="00022045">
        <w:rPr>
          <w:rFonts w:cs="Arial"/>
        </w:rPr>
        <w:t xml:space="preserve">amended where appropriate </w:t>
      </w:r>
      <w:r w:rsidR="006C7CAD" w:rsidRPr="00022045">
        <w:rPr>
          <w:rFonts w:cs="Arial"/>
        </w:rPr>
        <w:t xml:space="preserve">to ensure </w:t>
      </w:r>
      <w:r w:rsidRPr="00022045">
        <w:rPr>
          <w:rFonts w:cs="Arial"/>
        </w:rPr>
        <w:t>appropriate cost recovery.</w:t>
      </w:r>
      <w:r w:rsidR="006C7CAD" w:rsidRPr="00022045">
        <w:rPr>
          <w:rFonts w:cs="Arial"/>
        </w:rPr>
        <w:t xml:space="preserve"> </w:t>
      </w:r>
    </w:p>
    <w:p w14:paraId="46F577D2" w14:textId="77777777" w:rsidR="00F31D15" w:rsidRDefault="00F31D15" w:rsidP="00EB6498">
      <w:pPr>
        <w:pStyle w:val="ListParagraph"/>
        <w:ind w:left="426" w:hanging="426"/>
        <w:rPr>
          <w:rFonts w:cs="Arial"/>
          <w:highlight w:val="cyan"/>
        </w:rPr>
      </w:pPr>
    </w:p>
    <w:p w14:paraId="52028077" w14:textId="77777777" w:rsidR="001150E5" w:rsidRPr="00EB6498" w:rsidRDefault="004B1A07" w:rsidP="00EB6498">
      <w:pPr>
        <w:jc w:val="both"/>
        <w:rPr>
          <w:b/>
          <w:u w:val="single"/>
        </w:rPr>
      </w:pPr>
      <w:r w:rsidRPr="00EB6498">
        <w:rPr>
          <w:b/>
          <w:u w:val="single"/>
        </w:rPr>
        <w:t>People’s Directorate</w:t>
      </w:r>
      <w:r w:rsidR="00D47A30" w:rsidRPr="00EB6498">
        <w:rPr>
          <w:b/>
          <w:u w:val="single"/>
        </w:rPr>
        <w:t xml:space="preserve"> (Appendix </w:t>
      </w:r>
      <w:r w:rsidR="00A97E46" w:rsidRPr="00EB6498">
        <w:rPr>
          <w:b/>
          <w:u w:val="single"/>
        </w:rPr>
        <w:t>4</w:t>
      </w:r>
      <w:r w:rsidR="00D47A30" w:rsidRPr="00EB6498">
        <w:rPr>
          <w:b/>
          <w:u w:val="single"/>
        </w:rPr>
        <w:t>)</w:t>
      </w:r>
    </w:p>
    <w:p w14:paraId="45073284" w14:textId="77777777" w:rsidR="009A04CF" w:rsidRPr="00944E73" w:rsidRDefault="009A04CF" w:rsidP="007024F1">
      <w:pPr>
        <w:jc w:val="both"/>
        <w:rPr>
          <w:b/>
          <w:highlight w:val="cyan"/>
        </w:rPr>
      </w:pPr>
    </w:p>
    <w:p w14:paraId="4029D143" w14:textId="29DEAA3C" w:rsidR="00D911BB" w:rsidRPr="00575E65" w:rsidRDefault="004B1A07" w:rsidP="00EB6498">
      <w:pPr>
        <w:pStyle w:val="ListParagraph"/>
        <w:numPr>
          <w:ilvl w:val="0"/>
          <w:numId w:val="96"/>
        </w:numPr>
        <w:spacing w:after="240"/>
        <w:jc w:val="both"/>
      </w:pPr>
      <w:r w:rsidRPr="00575E65">
        <w:t>The proposed fees and charges for 20</w:t>
      </w:r>
      <w:r w:rsidR="00575E65">
        <w:t>2</w:t>
      </w:r>
      <w:r w:rsidR="00D020E2">
        <w:t>2</w:t>
      </w:r>
      <w:r w:rsidRPr="00575E65">
        <w:t>/</w:t>
      </w:r>
      <w:r w:rsidR="0081504E" w:rsidRPr="00575E65">
        <w:t>2</w:t>
      </w:r>
      <w:r w:rsidR="00D020E2">
        <w:t>3</w:t>
      </w:r>
      <w:r w:rsidRPr="00575E65">
        <w:t xml:space="preserve"> for </w:t>
      </w:r>
      <w:r w:rsidR="00D47A30" w:rsidRPr="00575E65">
        <w:t xml:space="preserve">the Peoples Directorate is detailed in Appendix </w:t>
      </w:r>
      <w:r w:rsidR="00A97E46" w:rsidRPr="00575E65">
        <w:t>4</w:t>
      </w:r>
      <w:r w:rsidR="00D47A30" w:rsidRPr="00575E65">
        <w:t>.  The schedule cove</w:t>
      </w:r>
      <w:r w:rsidR="00D903F8" w:rsidRPr="00575E65">
        <w:t>r</w:t>
      </w:r>
      <w:r w:rsidR="00D47A30" w:rsidRPr="00575E65">
        <w:t xml:space="preserve">s </w:t>
      </w:r>
      <w:r w:rsidRPr="00575E65">
        <w:t>Adults se</w:t>
      </w:r>
      <w:r w:rsidR="00D47A30" w:rsidRPr="00575E65">
        <w:t>rvices and Children</w:t>
      </w:r>
      <w:r w:rsidR="00D911BB" w:rsidRPr="00575E65">
        <w:t xml:space="preserve"> and Families.</w:t>
      </w:r>
      <w:r w:rsidRPr="00575E65">
        <w:t xml:space="preserve"> </w:t>
      </w:r>
    </w:p>
    <w:p w14:paraId="1F4DD2FB" w14:textId="5E359BE2" w:rsidR="004B1A07" w:rsidRPr="00091899" w:rsidRDefault="004B1A07" w:rsidP="00EB6498">
      <w:pPr>
        <w:pStyle w:val="ListParagraph"/>
        <w:numPr>
          <w:ilvl w:val="0"/>
          <w:numId w:val="96"/>
        </w:numPr>
        <w:spacing w:after="240"/>
        <w:jc w:val="both"/>
      </w:pPr>
      <w:bookmarkStart w:id="1" w:name="_Hlk91066833"/>
      <w:r w:rsidRPr="00091899">
        <w:t xml:space="preserve">Where possible, </w:t>
      </w:r>
      <w:r w:rsidR="00D90720" w:rsidRPr="00091899">
        <w:t xml:space="preserve">discretionary </w:t>
      </w:r>
      <w:r w:rsidRPr="00091899">
        <w:t xml:space="preserve">charges for adult social care </w:t>
      </w:r>
      <w:r w:rsidR="00D911BB" w:rsidRPr="00091899">
        <w:t xml:space="preserve">(Appendix </w:t>
      </w:r>
      <w:r w:rsidR="00A97E46" w:rsidRPr="00091899">
        <w:t>4</w:t>
      </w:r>
      <w:r w:rsidRPr="00091899">
        <w:t>)</w:t>
      </w:r>
      <w:r w:rsidR="00BA74B6">
        <w:t xml:space="preserve"> are increased by </w:t>
      </w:r>
      <w:r w:rsidR="00D020E2">
        <w:t>5</w:t>
      </w:r>
      <w:r w:rsidR="00BA74B6">
        <w:t xml:space="preserve"> % </w:t>
      </w:r>
      <w:r w:rsidR="00053AE4" w:rsidRPr="00091899">
        <w:t xml:space="preserve">as a </w:t>
      </w:r>
      <w:r w:rsidRPr="00091899">
        <w:t xml:space="preserve">move towards full cost.  </w:t>
      </w:r>
    </w:p>
    <w:p w14:paraId="07A3A048" w14:textId="77777777" w:rsidR="005536C5" w:rsidRPr="00022045" w:rsidRDefault="004B1A07" w:rsidP="00EB6498">
      <w:pPr>
        <w:pStyle w:val="ListParagraph"/>
        <w:numPr>
          <w:ilvl w:val="0"/>
          <w:numId w:val="96"/>
        </w:numPr>
        <w:spacing w:after="120"/>
        <w:jc w:val="both"/>
      </w:pPr>
      <w:r w:rsidRPr="00DF391A">
        <w:t>The Care Act introduced a single legal framework for charging for care and support (section 14-17), including discretion as to whether or not to charge.  Where a local authority arranges care and support to meet a service user’s needs, it may charge the adult, except where the local authority is required to arrange care and support free of charge</w:t>
      </w:r>
      <w:r w:rsidR="000255A7" w:rsidRPr="00022045">
        <w:t xml:space="preserve">, i.e </w:t>
      </w:r>
      <w:r w:rsidR="008C4F20" w:rsidRPr="00022045">
        <w:t xml:space="preserve">for </w:t>
      </w:r>
      <w:r w:rsidR="000255A7" w:rsidRPr="00022045">
        <w:t>reablement</w:t>
      </w:r>
      <w:r w:rsidRPr="00022045">
        <w:t>. The principle is that service users should only be required to pay what they can afford, and all service users who are eligible to receive chargeable services are required to go through a financial assessment process to determine their ability to pay.</w:t>
      </w:r>
    </w:p>
    <w:p w14:paraId="2B48AD5E" w14:textId="77777777" w:rsidR="00D903F8" w:rsidRPr="00022045" w:rsidRDefault="004B1A07" w:rsidP="00EB6498">
      <w:pPr>
        <w:pStyle w:val="ListParagraph"/>
        <w:numPr>
          <w:ilvl w:val="0"/>
          <w:numId w:val="96"/>
        </w:numPr>
        <w:spacing w:after="120"/>
        <w:jc w:val="both"/>
      </w:pPr>
      <w:r w:rsidRPr="00022045">
        <w:t xml:space="preserve">Charges in relation to the management of client finances under Court of Protection </w:t>
      </w:r>
      <w:r w:rsidR="00D903F8" w:rsidRPr="00022045">
        <w:rPr>
          <w:b/>
        </w:rPr>
        <w:t>(charge 3)</w:t>
      </w:r>
      <w:r w:rsidR="00D903F8" w:rsidRPr="00022045">
        <w:t xml:space="preserve"> </w:t>
      </w:r>
      <w:r w:rsidRPr="00022045">
        <w:t xml:space="preserve">are prescribed </w:t>
      </w:r>
      <w:r w:rsidR="00343CAA" w:rsidRPr="00022045">
        <w:t xml:space="preserve">up to a maximum amount </w:t>
      </w:r>
      <w:r w:rsidRPr="00022045">
        <w:t>by the Office of the Public Guardian</w:t>
      </w:r>
      <w:r w:rsidR="00D90720" w:rsidRPr="00022045">
        <w:t>.</w:t>
      </w:r>
      <w:r w:rsidRPr="00022045">
        <w:t xml:space="preserve"> </w:t>
      </w:r>
    </w:p>
    <w:p w14:paraId="1E2FC65E" w14:textId="7360A4F9" w:rsidR="00D903F8" w:rsidRPr="00022045" w:rsidRDefault="00D47A30" w:rsidP="00EB6498">
      <w:pPr>
        <w:pStyle w:val="ListParagraph"/>
        <w:numPr>
          <w:ilvl w:val="0"/>
          <w:numId w:val="96"/>
        </w:numPr>
        <w:spacing w:after="120"/>
        <w:jc w:val="both"/>
      </w:pPr>
      <w:r w:rsidRPr="00022045">
        <w:t>The Council’s</w:t>
      </w:r>
      <w:r w:rsidR="004B1A07" w:rsidRPr="00022045">
        <w:t xml:space="preserve"> Deferred Payments Policy </w:t>
      </w:r>
      <w:r w:rsidR="00D903F8" w:rsidRPr="00022045">
        <w:rPr>
          <w:b/>
        </w:rPr>
        <w:t xml:space="preserve">(charge </w:t>
      </w:r>
      <w:r w:rsidR="008C4F20" w:rsidRPr="00022045">
        <w:rPr>
          <w:b/>
        </w:rPr>
        <w:t>5</w:t>
      </w:r>
      <w:r w:rsidR="00D903F8" w:rsidRPr="00022045">
        <w:rPr>
          <w:b/>
        </w:rPr>
        <w:t>)</w:t>
      </w:r>
      <w:r w:rsidR="00D903F8" w:rsidRPr="00022045">
        <w:t xml:space="preserve"> </w:t>
      </w:r>
      <w:r w:rsidR="004B1A07" w:rsidRPr="00022045">
        <w:t xml:space="preserve">seeks to fully recover costs by way of administration charges; </w:t>
      </w:r>
      <w:r w:rsidR="00B911C4" w:rsidRPr="00022045">
        <w:t>however,</w:t>
      </w:r>
      <w:r w:rsidR="004B1A07" w:rsidRPr="00022045">
        <w:t xml:space="preserve"> it cannot make a profit.  </w:t>
      </w:r>
      <w:r w:rsidR="00E90114" w:rsidRPr="00022045">
        <w:t>The</w:t>
      </w:r>
      <w:r w:rsidR="000255A7" w:rsidRPr="00022045">
        <w:t xml:space="preserve"> majority of the</w:t>
      </w:r>
      <w:r w:rsidR="00E90114" w:rsidRPr="00022045">
        <w:t xml:space="preserve"> charges </w:t>
      </w:r>
      <w:r w:rsidR="000255A7" w:rsidRPr="00022045">
        <w:t>are estimates as legal costs will vary on a case by c</w:t>
      </w:r>
      <w:r w:rsidR="008E03FC" w:rsidRPr="00022045">
        <w:t>a</w:t>
      </w:r>
      <w:r w:rsidR="000255A7" w:rsidRPr="00022045">
        <w:t>se basis</w:t>
      </w:r>
      <w:r w:rsidR="00DF391A" w:rsidRPr="00022045">
        <w:t xml:space="preserve"> and the figure noted is an estimate of the likely charge, although the actual costs will be </w:t>
      </w:r>
      <w:r w:rsidR="00EB25BD" w:rsidRPr="00022045">
        <w:t>invoiced.</w:t>
      </w:r>
      <w:r w:rsidR="000255A7" w:rsidRPr="00DF391A">
        <w:t xml:space="preserve">  The valuation fee is reviewed annuall</w:t>
      </w:r>
      <w:r w:rsidR="008E03FC" w:rsidRPr="00022045">
        <w:t>y</w:t>
      </w:r>
      <w:r w:rsidR="000255A7" w:rsidRPr="00022045">
        <w:t xml:space="preserve"> in line with staffing costs and the annual </w:t>
      </w:r>
      <w:r w:rsidR="008E03FC" w:rsidRPr="00022045">
        <w:t xml:space="preserve">management </w:t>
      </w:r>
      <w:r w:rsidR="000255A7" w:rsidRPr="00022045">
        <w:t xml:space="preserve">fee is linked to the </w:t>
      </w:r>
      <w:r w:rsidR="008C4F20" w:rsidRPr="00022045">
        <w:t>O</w:t>
      </w:r>
      <w:r w:rsidR="000255A7" w:rsidRPr="00022045">
        <w:t xml:space="preserve">ffice of </w:t>
      </w:r>
      <w:r w:rsidR="008C4F20" w:rsidRPr="00022045">
        <w:t>the P</w:t>
      </w:r>
      <w:r w:rsidR="000255A7" w:rsidRPr="00022045">
        <w:t>ub</w:t>
      </w:r>
      <w:r w:rsidR="008E03FC" w:rsidRPr="00022045">
        <w:t xml:space="preserve">lic </w:t>
      </w:r>
      <w:r w:rsidR="008C4F20" w:rsidRPr="00022045">
        <w:t xml:space="preserve">Guardian </w:t>
      </w:r>
      <w:r w:rsidR="000255A7" w:rsidRPr="00022045">
        <w:t>rates</w:t>
      </w:r>
      <w:r w:rsidR="00DF391A" w:rsidRPr="00022045">
        <w:t xml:space="preserve"> (which as in previous years remains unchanged)</w:t>
      </w:r>
      <w:r w:rsidR="000255A7" w:rsidRPr="00DF391A">
        <w:t>.</w:t>
      </w:r>
      <w:r w:rsidR="004B1A07" w:rsidRPr="00DF391A" w:rsidDel="00491014">
        <w:t xml:space="preserve"> </w:t>
      </w:r>
    </w:p>
    <w:p w14:paraId="73395D1A" w14:textId="52AFA5C4" w:rsidR="00DF391A" w:rsidRPr="00022045" w:rsidRDefault="00091899" w:rsidP="00DF391A">
      <w:pPr>
        <w:pStyle w:val="ListParagraph"/>
        <w:numPr>
          <w:ilvl w:val="0"/>
          <w:numId w:val="103"/>
        </w:numPr>
      </w:pPr>
      <w:r w:rsidRPr="00022045">
        <w:t xml:space="preserve">Charges for arranging care for </w:t>
      </w:r>
      <w:r w:rsidR="00A2438E" w:rsidRPr="00022045">
        <w:t>self-funders</w:t>
      </w:r>
      <w:r w:rsidRPr="00022045">
        <w:t xml:space="preserve"> </w:t>
      </w:r>
      <w:r w:rsidRPr="00022045">
        <w:rPr>
          <w:b/>
        </w:rPr>
        <w:t>(charge 6)</w:t>
      </w:r>
      <w:r w:rsidRPr="00022045">
        <w:t xml:space="preserve"> </w:t>
      </w:r>
      <w:r w:rsidR="00B01D49" w:rsidRPr="00022045">
        <w:t>–</w:t>
      </w:r>
      <w:r w:rsidRPr="00022045">
        <w:t xml:space="preserve"> </w:t>
      </w:r>
      <w:r w:rsidR="00080005" w:rsidRPr="00022045">
        <w:t xml:space="preserve">   The Care Act enables Councils to fully recover costs for services to self-funders.  In this respect, new </w:t>
      </w:r>
      <w:r w:rsidR="00DF391A" w:rsidRPr="00022045">
        <w:t xml:space="preserve">annual </w:t>
      </w:r>
      <w:r w:rsidR="00080005" w:rsidRPr="00DF391A">
        <w:t>charges were introduced in April 2020 with a set up cost (one-off) at £300 and annual review (ongoing) at £200.  These costs were based on officer time</w:t>
      </w:r>
      <w:r w:rsidR="00080005" w:rsidRPr="00022045">
        <w:t xml:space="preserve"> however it </w:t>
      </w:r>
      <w:r w:rsidR="00A2438E" w:rsidRPr="00022045">
        <w:t>was identified</w:t>
      </w:r>
      <w:r w:rsidR="00080005" w:rsidRPr="00022045">
        <w:t xml:space="preserve"> that these costs </w:t>
      </w:r>
      <w:r w:rsidR="00A70C25" w:rsidRPr="00022045">
        <w:t xml:space="preserve">were under assessed and </w:t>
      </w:r>
      <w:r w:rsidR="00080005" w:rsidRPr="00022045">
        <w:t xml:space="preserve">did not </w:t>
      </w:r>
      <w:r w:rsidR="00A70C25" w:rsidRPr="00022045">
        <w:t>cover the full staffing cost for these services.</w:t>
      </w:r>
      <w:r w:rsidR="00080005" w:rsidRPr="00022045">
        <w:t xml:space="preserve">   In order to fully recover </w:t>
      </w:r>
      <w:r w:rsidR="00A2438E" w:rsidRPr="00022045">
        <w:t xml:space="preserve">costs, </w:t>
      </w:r>
      <w:r w:rsidR="00A2438E">
        <w:t xml:space="preserve">the </w:t>
      </w:r>
      <w:r w:rsidR="00EB25BD" w:rsidRPr="00DF391A">
        <w:rPr>
          <w:rFonts w:cs="Arial"/>
        </w:rPr>
        <w:lastRenderedPageBreak/>
        <w:t>set</w:t>
      </w:r>
      <w:r w:rsidR="00EB25BD" w:rsidRPr="00022045">
        <w:t>-up</w:t>
      </w:r>
      <w:r w:rsidR="00DF391A" w:rsidRPr="00022045">
        <w:t xml:space="preserve"> charge would be £464, which would require an increase of £134 (41%) and £244 for the annual ongoing cost (an increase of £24 or 10.91%). </w:t>
      </w:r>
      <w:r w:rsidR="00A2438E">
        <w:t>I</w:t>
      </w:r>
      <w:r w:rsidR="00DF391A" w:rsidRPr="00022045">
        <w:t xml:space="preserve">t is proposed to </w:t>
      </w:r>
      <w:r w:rsidR="001C3BAF">
        <w:t xml:space="preserve">increase both charges by 10.91%, which </w:t>
      </w:r>
      <w:r w:rsidR="00DF391A" w:rsidRPr="00022045">
        <w:t>enable</w:t>
      </w:r>
      <w:r w:rsidR="001C3BAF">
        <w:t>s</w:t>
      </w:r>
      <w:r w:rsidR="00DF391A" w:rsidRPr="00022045">
        <w:t xml:space="preserve"> the annual ongoing cost to be fully recovered and work towards fully recovering the set up charge over the next couple of years.</w:t>
      </w:r>
    </w:p>
    <w:bookmarkEnd w:id="1"/>
    <w:p w14:paraId="22DEAA59" w14:textId="77777777" w:rsidR="00080005" w:rsidRPr="00D63F67" w:rsidRDefault="00080005" w:rsidP="00EB6498">
      <w:pPr>
        <w:pStyle w:val="ListParagraph"/>
      </w:pPr>
    </w:p>
    <w:p w14:paraId="5339D972" w14:textId="42660C0F" w:rsidR="004B1A07" w:rsidRPr="00575E65" w:rsidRDefault="004B1A07" w:rsidP="00EB6498">
      <w:pPr>
        <w:pStyle w:val="ListParagraph"/>
        <w:numPr>
          <w:ilvl w:val="0"/>
          <w:numId w:val="96"/>
        </w:numPr>
        <w:jc w:val="both"/>
      </w:pPr>
      <w:r w:rsidRPr="00575E65">
        <w:t>The proposed f</w:t>
      </w:r>
      <w:r w:rsidR="00D911BB" w:rsidRPr="00575E65">
        <w:t xml:space="preserve">ees and charges </w:t>
      </w:r>
      <w:r w:rsidRPr="00575E65">
        <w:t xml:space="preserve">for the Children &amp; Families Service </w:t>
      </w:r>
      <w:r w:rsidR="00750F51" w:rsidRPr="00575E65">
        <w:t>are proposed</w:t>
      </w:r>
      <w:r w:rsidRPr="00575E65">
        <w:t xml:space="preserve"> to increase by approximately </w:t>
      </w:r>
      <w:r w:rsidR="00D020E2">
        <w:t>5</w:t>
      </w:r>
      <w:r w:rsidRPr="00575E65">
        <w:t>% to move towards full cost recovery</w:t>
      </w:r>
      <w:r w:rsidR="00575E65" w:rsidRPr="00944E73">
        <w:t>, rounded where appropriate</w:t>
      </w:r>
      <w:r w:rsidRPr="00575E65">
        <w:t>.</w:t>
      </w:r>
    </w:p>
    <w:p w14:paraId="6D57BE55" w14:textId="77777777" w:rsidR="00A50127" w:rsidRPr="007024F1" w:rsidRDefault="00A50127" w:rsidP="007024F1"/>
    <w:p w14:paraId="5A2DAD80" w14:textId="5DA5DD04" w:rsidR="005441BD" w:rsidRDefault="00BA74B6" w:rsidP="00D63F67">
      <w:pPr>
        <w:pStyle w:val="Heading2"/>
        <w:jc w:val="both"/>
      </w:pPr>
      <w:r>
        <w:t>Pe</w:t>
      </w:r>
      <w:r w:rsidR="005441BD" w:rsidRPr="00734C10">
        <w:t>rformance Issues</w:t>
      </w:r>
    </w:p>
    <w:p w14:paraId="3F1CC655" w14:textId="77777777" w:rsidR="00EB25BD" w:rsidRPr="00EB25BD" w:rsidRDefault="00EB25BD" w:rsidP="00EB25BD"/>
    <w:p w14:paraId="2565F3A0" w14:textId="305A32CA" w:rsidR="00E31263" w:rsidRDefault="00C45596" w:rsidP="00EB6498">
      <w:pPr>
        <w:pStyle w:val="ListParagraph"/>
        <w:numPr>
          <w:ilvl w:val="0"/>
          <w:numId w:val="96"/>
        </w:numPr>
        <w:jc w:val="both"/>
      </w:pPr>
      <w:r>
        <w:t xml:space="preserve">Income </w:t>
      </w:r>
      <w:r w:rsidR="00A50127">
        <w:t>form</w:t>
      </w:r>
      <w:r w:rsidR="00E30173">
        <w:t>s</w:t>
      </w:r>
      <w:r w:rsidR="00A50127">
        <w:t xml:space="preserve"> </w:t>
      </w:r>
      <w:r w:rsidR="00902A87">
        <w:t xml:space="preserve">part of the </w:t>
      </w:r>
      <w:r w:rsidR="00D75671">
        <w:t xml:space="preserve">monthly </w:t>
      </w:r>
      <w:r w:rsidR="007419AB">
        <w:t>Monitor</w:t>
      </w:r>
      <w:r w:rsidR="00902A87">
        <w:t>ing</w:t>
      </w:r>
      <w:r w:rsidR="007419AB">
        <w:t xml:space="preserve"> </w:t>
      </w:r>
      <w:r w:rsidR="00D75671">
        <w:t>whic</w:t>
      </w:r>
      <w:r w:rsidR="004E6EAA">
        <w:t>h is sent to both the Corporate Strateg</w:t>
      </w:r>
      <w:r w:rsidR="004D5E5F">
        <w:t>ic</w:t>
      </w:r>
      <w:r w:rsidR="004E6EAA">
        <w:t xml:space="preserve"> </w:t>
      </w:r>
      <w:r w:rsidR="007419AB">
        <w:t xml:space="preserve">Board </w:t>
      </w:r>
      <w:r w:rsidR="004E6EAA">
        <w:t xml:space="preserve">and Cabinet Members </w:t>
      </w:r>
      <w:r w:rsidR="00722B46">
        <w:t>on a quarterly basis</w:t>
      </w:r>
      <w:r w:rsidR="005F1A5B">
        <w:t xml:space="preserve">.  </w:t>
      </w:r>
      <w:r w:rsidR="008E13BB">
        <w:t xml:space="preserve"> Any specific changes to fees and charges as part of the MTFS will be monitored through the monthly savings tracker which is also widely distributed. </w:t>
      </w:r>
    </w:p>
    <w:p w14:paraId="533FF8B9" w14:textId="77777777" w:rsidR="0096523A" w:rsidRDefault="0096523A" w:rsidP="00777A64">
      <w:pPr>
        <w:pStyle w:val="ListParagraph"/>
      </w:pPr>
    </w:p>
    <w:p w14:paraId="5835A281" w14:textId="4DF18996" w:rsidR="00B870BA" w:rsidRDefault="00B870BA" w:rsidP="00EB6498">
      <w:pPr>
        <w:pStyle w:val="Heading2"/>
        <w:jc w:val="both"/>
      </w:pPr>
      <w:r w:rsidRPr="00734C10">
        <w:t>Environmental Imp</w:t>
      </w:r>
      <w:r w:rsidR="00870983">
        <w:t>lications</w:t>
      </w:r>
    </w:p>
    <w:p w14:paraId="4638301C" w14:textId="77777777" w:rsidR="00EB25BD" w:rsidRPr="00EB25BD" w:rsidRDefault="00EB25BD" w:rsidP="00EB25BD"/>
    <w:p w14:paraId="1CA80BC7" w14:textId="77777777" w:rsidR="00B870BA" w:rsidRDefault="00B870BA" w:rsidP="00EB6498">
      <w:pPr>
        <w:pStyle w:val="ListParagraph"/>
        <w:numPr>
          <w:ilvl w:val="0"/>
          <w:numId w:val="96"/>
        </w:numPr>
        <w:jc w:val="both"/>
      </w:pPr>
      <w:r w:rsidRPr="004B2F02">
        <w:t xml:space="preserve">There are no </w:t>
      </w:r>
      <w:r>
        <w:t xml:space="preserve">material </w:t>
      </w:r>
      <w:r w:rsidRPr="004B2F02">
        <w:t xml:space="preserve">environmental impacts </w:t>
      </w:r>
      <w:r>
        <w:t xml:space="preserve">from the development and implementation </w:t>
      </w:r>
      <w:r w:rsidR="00BB3589">
        <w:t>of Fees</w:t>
      </w:r>
      <w:r>
        <w:t xml:space="preserve"> &amp; Charges and the changes detailed in the schedules to this report. </w:t>
      </w:r>
    </w:p>
    <w:p w14:paraId="75D88DC2" w14:textId="77777777" w:rsidR="00B870BA" w:rsidRDefault="00B870BA" w:rsidP="00B870BA"/>
    <w:p w14:paraId="0FC33BB9" w14:textId="77777777" w:rsidR="00B870BA" w:rsidRPr="004B2F02" w:rsidRDefault="00B870BA" w:rsidP="00EB6498">
      <w:pPr>
        <w:pStyle w:val="ListParagraph"/>
        <w:numPr>
          <w:ilvl w:val="0"/>
          <w:numId w:val="96"/>
        </w:numPr>
        <w:jc w:val="both"/>
      </w:pPr>
      <w:r>
        <w:t xml:space="preserve">Any significant changes to the method of delivering services will be subject to an options appraisal, a part of which will be to assess any environmental consequences of the proposed changes. </w:t>
      </w:r>
    </w:p>
    <w:p w14:paraId="4FD6DF94" w14:textId="68E88A1B" w:rsidR="00E31263" w:rsidRDefault="00E31263" w:rsidP="00EB6498">
      <w:pPr>
        <w:ind w:firstLine="70"/>
      </w:pPr>
    </w:p>
    <w:p w14:paraId="014C1386" w14:textId="749A7C3C" w:rsidR="00B870BA" w:rsidRDefault="00B870BA" w:rsidP="00D63F67">
      <w:pPr>
        <w:pStyle w:val="Heading2"/>
        <w:jc w:val="both"/>
      </w:pPr>
      <w:r w:rsidRPr="00734C10">
        <w:t>Risk Management Implications</w:t>
      </w:r>
    </w:p>
    <w:p w14:paraId="659CF05F" w14:textId="77777777" w:rsidR="00EB25BD" w:rsidRPr="00EB25BD" w:rsidRDefault="00EB25BD" w:rsidP="00EB25BD"/>
    <w:p w14:paraId="0073CB74" w14:textId="58CA0FED" w:rsidR="00551052" w:rsidRPr="007F252C" w:rsidRDefault="00551052" w:rsidP="00551052">
      <w:pPr>
        <w:pStyle w:val="ListParagraph"/>
        <w:numPr>
          <w:ilvl w:val="0"/>
          <w:numId w:val="96"/>
        </w:numPr>
        <w:tabs>
          <w:tab w:val="left" w:pos="426"/>
        </w:tabs>
        <w:jc w:val="both"/>
        <w:rPr>
          <w:lang w:val="en-US"/>
        </w:rPr>
      </w:pPr>
      <w:r w:rsidRPr="007F252C">
        <w:rPr>
          <w:rFonts w:cs="Arial"/>
          <w:szCs w:val="24"/>
          <w:lang w:val="en-US"/>
        </w:rPr>
        <w:t xml:space="preserve">Risks included on corporate or directorate risk register? </w:t>
      </w:r>
      <w:r w:rsidRPr="007F252C">
        <w:rPr>
          <w:rFonts w:cs="Arial"/>
          <w:b/>
          <w:bCs/>
          <w:szCs w:val="24"/>
          <w:lang w:val="en-US"/>
        </w:rPr>
        <w:t>No</w:t>
      </w:r>
    </w:p>
    <w:p w14:paraId="7550C4CE" w14:textId="77777777" w:rsidR="00551052" w:rsidRPr="007F252C" w:rsidRDefault="00551052" w:rsidP="00551052">
      <w:pPr>
        <w:tabs>
          <w:tab w:val="left" w:pos="426"/>
        </w:tabs>
        <w:ind w:left="360"/>
        <w:jc w:val="both"/>
        <w:rPr>
          <w:lang w:val="en-US"/>
        </w:rPr>
      </w:pPr>
    </w:p>
    <w:p w14:paraId="369AFE5C" w14:textId="242DE473" w:rsidR="00551052" w:rsidRPr="007F252C" w:rsidRDefault="00551052" w:rsidP="00551052">
      <w:pPr>
        <w:pStyle w:val="ListParagraph"/>
        <w:numPr>
          <w:ilvl w:val="0"/>
          <w:numId w:val="96"/>
        </w:numPr>
        <w:tabs>
          <w:tab w:val="left" w:pos="426"/>
        </w:tabs>
        <w:jc w:val="both"/>
        <w:rPr>
          <w:lang w:val="en-US"/>
        </w:rPr>
      </w:pPr>
      <w:r w:rsidRPr="007F252C">
        <w:rPr>
          <w:rFonts w:cs="Arial"/>
          <w:szCs w:val="24"/>
          <w:lang w:val="en-US" w:eastAsia="en-GB"/>
        </w:rPr>
        <w:t xml:space="preserve">Separate risk register in place? </w:t>
      </w:r>
      <w:r w:rsidRPr="007F252C">
        <w:rPr>
          <w:rFonts w:cs="Arial"/>
          <w:b/>
          <w:bCs/>
          <w:szCs w:val="24"/>
          <w:lang w:val="en-US" w:eastAsia="en-GB"/>
        </w:rPr>
        <w:t>No</w:t>
      </w:r>
    </w:p>
    <w:p w14:paraId="731CE79C" w14:textId="77777777" w:rsidR="00551052" w:rsidRPr="007F252C" w:rsidRDefault="00551052" w:rsidP="00551052">
      <w:pPr>
        <w:pStyle w:val="ListParagraph"/>
        <w:rPr>
          <w:lang w:val="en-US"/>
        </w:rPr>
      </w:pPr>
    </w:p>
    <w:p w14:paraId="36EE43DC" w14:textId="3CFAEC49" w:rsidR="00551052" w:rsidRPr="007F252C" w:rsidRDefault="00551052" w:rsidP="00551052">
      <w:pPr>
        <w:pStyle w:val="ListParagraph"/>
        <w:numPr>
          <w:ilvl w:val="0"/>
          <w:numId w:val="96"/>
        </w:numPr>
        <w:tabs>
          <w:tab w:val="left" w:pos="5610"/>
        </w:tabs>
        <w:ind w:right="81"/>
        <w:rPr>
          <w:rFonts w:cs="Arial"/>
          <w:szCs w:val="24"/>
          <w:lang w:val="en-US" w:eastAsia="en-GB"/>
        </w:rPr>
      </w:pPr>
      <w:r>
        <w:t xml:space="preserve">The relevant risks contained in the register are attached/summarised below. </w:t>
      </w:r>
      <w:r w:rsidRPr="007F252C">
        <w:rPr>
          <w:rFonts w:cs="Arial"/>
          <w:b/>
          <w:bCs/>
          <w:szCs w:val="24"/>
          <w:lang w:val="en-US" w:eastAsia="en-GB"/>
        </w:rPr>
        <w:t>n/a</w:t>
      </w:r>
    </w:p>
    <w:p w14:paraId="6DAE0FE2" w14:textId="77777777" w:rsidR="00551052" w:rsidRPr="007F252C" w:rsidRDefault="00551052" w:rsidP="00551052">
      <w:pPr>
        <w:tabs>
          <w:tab w:val="left" w:pos="426"/>
        </w:tabs>
        <w:ind w:left="360"/>
        <w:jc w:val="both"/>
        <w:rPr>
          <w:lang w:val="en-US"/>
        </w:rPr>
      </w:pPr>
    </w:p>
    <w:p w14:paraId="49A43D73" w14:textId="77777777" w:rsidR="00551052" w:rsidRPr="007F252C" w:rsidRDefault="00551052" w:rsidP="00551052">
      <w:pPr>
        <w:pStyle w:val="ListParagraph"/>
        <w:numPr>
          <w:ilvl w:val="0"/>
          <w:numId w:val="96"/>
        </w:numPr>
        <w:tabs>
          <w:tab w:val="left" w:pos="5610"/>
        </w:tabs>
        <w:ind w:right="81"/>
      </w:pPr>
      <w:r w:rsidRPr="007F252C">
        <w:t>The following key risks should be taken onto account when agreeing the recommendations in this report:</w:t>
      </w:r>
    </w:p>
    <w:p w14:paraId="3CD6316E" w14:textId="77777777" w:rsidR="00551052" w:rsidRPr="007F252C" w:rsidRDefault="00551052" w:rsidP="00551052">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8"/>
        <w:gridCol w:w="4796"/>
        <w:gridCol w:w="895"/>
      </w:tblGrid>
      <w:tr w:rsidR="00551052" w:rsidRPr="007F252C" w14:paraId="629AFD22" w14:textId="77777777" w:rsidTr="003C3805">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31BD6" w14:textId="77777777" w:rsidR="00551052" w:rsidRPr="007F252C" w:rsidRDefault="00551052" w:rsidP="003C3805">
            <w:pPr>
              <w:suppressAutoHyphens/>
              <w:autoSpaceDN w:val="0"/>
              <w:ind w:right="141"/>
              <w:textAlignment w:val="baseline"/>
              <w:rPr>
                <w:rFonts w:cs="Arial"/>
                <w:b/>
                <w:bCs/>
                <w:szCs w:val="24"/>
                <w:lang w:val="en-US" w:eastAsia="en-GB"/>
              </w:rPr>
            </w:pPr>
            <w:r w:rsidRPr="007F252C">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F902C" w14:textId="77777777" w:rsidR="00551052" w:rsidRPr="007F252C" w:rsidRDefault="00551052" w:rsidP="003C3805">
            <w:pPr>
              <w:suppressAutoHyphens/>
              <w:autoSpaceDN w:val="0"/>
              <w:ind w:right="141"/>
              <w:textAlignment w:val="baseline"/>
              <w:rPr>
                <w:rFonts w:cs="Arial"/>
                <w:b/>
                <w:bCs/>
                <w:szCs w:val="24"/>
                <w:lang w:val="en-US" w:eastAsia="en-GB"/>
              </w:rPr>
            </w:pPr>
            <w:r w:rsidRPr="007F252C">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0AC101" w14:textId="77777777" w:rsidR="00551052" w:rsidRPr="007F252C" w:rsidRDefault="00551052" w:rsidP="003C3805">
            <w:pPr>
              <w:suppressAutoHyphens/>
              <w:autoSpaceDN w:val="0"/>
              <w:ind w:right="141"/>
              <w:jc w:val="center"/>
              <w:textAlignment w:val="baseline"/>
              <w:rPr>
                <w:rFonts w:cs="Arial"/>
                <w:b/>
                <w:bCs/>
                <w:szCs w:val="24"/>
                <w:lang w:val="en-US" w:eastAsia="en-GB"/>
              </w:rPr>
            </w:pPr>
            <w:r w:rsidRPr="007F252C">
              <w:rPr>
                <w:rFonts w:cs="Arial"/>
                <w:b/>
                <w:bCs/>
                <w:szCs w:val="24"/>
                <w:lang w:val="en-US" w:eastAsia="en-GB"/>
              </w:rPr>
              <w:t xml:space="preserve">RAG Status </w:t>
            </w:r>
          </w:p>
        </w:tc>
      </w:tr>
      <w:tr w:rsidR="00551052" w:rsidRPr="007F252C" w14:paraId="32C297DB" w14:textId="77777777" w:rsidTr="00072EE6">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DCE9" w14:textId="77777777" w:rsidR="00551052" w:rsidRPr="007F252C" w:rsidRDefault="00551052" w:rsidP="003C3805">
            <w:pPr>
              <w:suppressAutoHyphens/>
              <w:autoSpaceDN w:val="0"/>
              <w:ind w:right="141"/>
              <w:textAlignment w:val="baseline"/>
              <w:rPr>
                <w:rFonts w:cs="Arial"/>
                <w:szCs w:val="24"/>
                <w:lang w:val="en-US" w:eastAsia="en-GB"/>
              </w:rPr>
            </w:pPr>
            <w:r>
              <w:rPr>
                <w:lang w:val="en-US"/>
              </w:rPr>
              <w:t>Increase in charges have an a</w:t>
            </w:r>
            <w:r w:rsidRPr="00F306C0">
              <w:rPr>
                <w:lang w:val="en-US"/>
              </w:rPr>
              <w:t>dverse effect</w:t>
            </w:r>
            <w:r>
              <w:rPr>
                <w:lang w:val="en-US"/>
              </w:rPr>
              <w:t xml:space="preserve"> on</w:t>
            </w:r>
            <w:r w:rsidRPr="00F306C0">
              <w:rPr>
                <w:lang w:val="en-US"/>
              </w:rPr>
              <w:t xml:space="preserve"> demand for the service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4C21" w14:textId="77777777" w:rsidR="00CD3D50" w:rsidRDefault="00F0673D"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The i</w:t>
            </w:r>
            <w:r w:rsidR="00551052">
              <w:rPr>
                <w:rFonts w:cs="Arial"/>
                <w:szCs w:val="24"/>
                <w:lang w:val="en-US" w:eastAsia="en-GB"/>
              </w:rPr>
              <w:t xml:space="preserve">mpact </w:t>
            </w:r>
            <w:r>
              <w:rPr>
                <w:rFonts w:cs="Arial"/>
                <w:szCs w:val="24"/>
                <w:lang w:val="en-US" w:eastAsia="en-GB"/>
              </w:rPr>
              <w:t xml:space="preserve">of an increase having an adverse effect on demand is fully considered when deciding on </w:t>
            </w:r>
            <w:r w:rsidR="00345198">
              <w:rPr>
                <w:rFonts w:cs="Arial"/>
                <w:szCs w:val="24"/>
                <w:lang w:val="en-US" w:eastAsia="en-GB"/>
              </w:rPr>
              <w:t>the level of</w:t>
            </w:r>
            <w:r>
              <w:rPr>
                <w:rFonts w:cs="Arial"/>
                <w:szCs w:val="24"/>
                <w:lang w:val="en-US" w:eastAsia="en-GB"/>
              </w:rPr>
              <w:t xml:space="preserve"> </w:t>
            </w:r>
            <w:r w:rsidR="00345198">
              <w:rPr>
                <w:rFonts w:cs="Arial"/>
                <w:szCs w:val="24"/>
                <w:lang w:val="en-US" w:eastAsia="en-GB"/>
              </w:rPr>
              <w:t xml:space="preserve">the </w:t>
            </w:r>
            <w:r>
              <w:rPr>
                <w:rFonts w:cs="Arial"/>
                <w:szCs w:val="24"/>
                <w:lang w:val="en-US" w:eastAsia="en-GB"/>
              </w:rPr>
              <w:t>increase.</w:t>
            </w:r>
          </w:p>
          <w:p w14:paraId="231D5D78" w14:textId="6F20B901" w:rsidR="003F79CF" w:rsidRDefault="00F0673D" w:rsidP="00072EE6">
            <w:pPr>
              <w:suppressAutoHyphens/>
              <w:autoSpaceDN w:val="0"/>
              <w:ind w:left="171" w:right="141"/>
              <w:textAlignment w:val="baseline"/>
              <w:rPr>
                <w:rFonts w:cs="Arial"/>
                <w:szCs w:val="24"/>
                <w:lang w:val="en-US" w:eastAsia="en-GB"/>
              </w:rPr>
            </w:pPr>
            <w:r>
              <w:rPr>
                <w:rFonts w:cs="Arial"/>
                <w:szCs w:val="24"/>
                <w:lang w:val="en-US" w:eastAsia="en-GB"/>
              </w:rPr>
              <w:t xml:space="preserve"> </w:t>
            </w:r>
          </w:p>
          <w:p w14:paraId="2C10F539" w14:textId="35F13F40" w:rsidR="00345198" w:rsidRDefault="003F79CF"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 xml:space="preserve">Charges do not always increase and can be frozen at the prior year level or even reduced. </w:t>
            </w:r>
          </w:p>
          <w:p w14:paraId="1551E018" w14:textId="143943B8" w:rsidR="00551052" w:rsidRPr="007F252C" w:rsidRDefault="00551052" w:rsidP="00072EE6">
            <w:pPr>
              <w:suppressAutoHyphens/>
              <w:autoSpaceDN w:val="0"/>
              <w:ind w:right="141"/>
              <w:textAlignment w:val="baseline"/>
              <w:rPr>
                <w:rFonts w:cs="Arial"/>
                <w:szCs w:val="24"/>
                <w:lang w:val="en-US" w:eastAsia="en-GB"/>
              </w:rPr>
            </w:pPr>
          </w:p>
          <w:p w14:paraId="010EBC15" w14:textId="77777777" w:rsidR="00551052" w:rsidRPr="007F252C" w:rsidRDefault="00551052"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F</w:t>
            </w:r>
            <w:r w:rsidRPr="007F252C">
              <w:rPr>
                <w:rFonts w:cs="Arial"/>
                <w:szCs w:val="24"/>
                <w:lang w:val="en-US" w:eastAsia="en-GB"/>
              </w:rPr>
              <w:t xml:space="preserve">ees and charges will be monitored through the Council’s various relevant </w:t>
            </w:r>
            <w:r w:rsidRPr="007F252C">
              <w:rPr>
                <w:rFonts w:cs="Arial"/>
                <w:szCs w:val="24"/>
                <w:lang w:val="en-US" w:eastAsia="en-GB"/>
              </w:rPr>
              <w:lastRenderedPageBreak/>
              <w:t xml:space="preserve">performance indicators and the monthly budget monitoring process.  </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2661F10" w14:textId="5D19AC5F" w:rsidR="00551052" w:rsidRPr="007F252C" w:rsidRDefault="00EB25BD" w:rsidP="003C3805">
            <w:pPr>
              <w:suppressAutoHyphens/>
              <w:autoSpaceDN w:val="0"/>
              <w:ind w:right="141"/>
              <w:textAlignment w:val="baseline"/>
              <w:rPr>
                <w:rFonts w:cs="Arial"/>
                <w:szCs w:val="24"/>
                <w:lang w:val="en-US" w:eastAsia="en-GB"/>
              </w:rPr>
            </w:pPr>
            <w:r>
              <w:rPr>
                <w:rFonts w:cs="Arial"/>
                <w:szCs w:val="24"/>
                <w:lang w:val="en-US" w:eastAsia="en-GB"/>
              </w:rPr>
              <w:lastRenderedPageBreak/>
              <w:t>Green</w:t>
            </w:r>
          </w:p>
        </w:tc>
      </w:tr>
      <w:tr w:rsidR="00551052" w:rsidRPr="007F252C" w14:paraId="1DF6301B" w14:textId="77777777" w:rsidTr="00072EE6">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8DBD" w14:textId="77777777" w:rsidR="00551052" w:rsidRPr="007F252C" w:rsidRDefault="00551052" w:rsidP="003C3805">
            <w:pPr>
              <w:suppressAutoHyphens/>
              <w:autoSpaceDN w:val="0"/>
              <w:ind w:right="141"/>
              <w:textAlignment w:val="baseline"/>
              <w:rPr>
                <w:rFonts w:cs="Arial"/>
                <w:szCs w:val="24"/>
                <w:lang w:val="en-US" w:eastAsia="en-GB"/>
              </w:rPr>
            </w:pPr>
            <w:r>
              <w:rPr>
                <w:rFonts w:cs="Arial"/>
                <w:szCs w:val="24"/>
                <w:lang w:val="en-US" w:eastAsia="en-GB"/>
              </w:rPr>
              <w:t xml:space="preserve">Adverse impact on Council’s budget of not setting charges to fully recover costs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7C0D" w14:textId="0896FD2D" w:rsidR="00551052" w:rsidRDefault="003F79CF"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 xml:space="preserve">The </w:t>
            </w:r>
            <w:r w:rsidR="00A820C7">
              <w:rPr>
                <w:rFonts w:cs="Arial"/>
                <w:szCs w:val="24"/>
                <w:lang w:val="en-US" w:eastAsia="en-GB"/>
              </w:rPr>
              <w:t xml:space="preserve">income from </w:t>
            </w:r>
            <w:r>
              <w:rPr>
                <w:rFonts w:cs="Arial"/>
                <w:szCs w:val="24"/>
                <w:lang w:val="en-US" w:eastAsia="en-GB"/>
              </w:rPr>
              <w:t>fees and charges is factored into the Council’s budget setting process</w:t>
            </w:r>
            <w:r w:rsidR="003C218E">
              <w:rPr>
                <w:rFonts w:cs="Arial"/>
                <w:szCs w:val="24"/>
                <w:lang w:val="en-US" w:eastAsia="en-GB"/>
              </w:rPr>
              <w:t xml:space="preserve"> and therefore</w:t>
            </w:r>
            <w:r w:rsidR="00CD3D50">
              <w:rPr>
                <w:rFonts w:cs="Arial"/>
                <w:szCs w:val="24"/>
                <w:lang w:val="en-US" w:eastAsia="en-GB"/>
              </w:rPr>
              <w:t xml:space="preserve"> the fact that most charges do not fully recover costs is already factored into the budget.</w:t>
            </w:r>
            <w:r>
              <w:rPr>
                <w:rFonts w:cs="Arial"/>
                <w:szCs w:val="24"/>
                <w:lang w:val="en-US" w:eastAsia="en-GB"/>
              </w:rPr>
              <w:t xml:space="preserve"> </w:t>
            </w:r>
          </w:p>
          <w:p w14:paraId="237B6DA2" w14:textId="231C44DB" w:rsidR="00072EE6" w:rsidRPr="007F252C" w:rsidRDefault="00EF1FA0"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As per para 12 w</w:t>
            </w:r>
            <w:r>
              <w:t>here possible, and consistent with the Council’s service priorities, it is proposed to increase charges to move towards full cost recovery</w:t>
            </w:r>
            <w:r w:rsidRPr="004E72FA">
              <w:t>.</w:t>
            </w:r>
          </w:p>
          <w:p w14:paraId="77E03F89" w14:textId="77777777" w:rsidR="00551052" w:rsidRPr="00CD3D50" w:rsidRDefault="00551052" w:rsidP="00072EE6">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70F26413" w14:textId="77777777" w:rsidR="00551052" w:rsidRPr="007F252C" w:rsidRDefault="00551052" w:rsidP="003C3805">
            <w:pPr>
              <w:suppressAutoHyphens/>
              <w:autoSpaceDN w:val="0"/>
              <w:ind w:right="141"/>
              <w:textAlignment w:val="baseline"/>
              <w:rPr>
                <w:rFonts w:cs="Arial"/>
                <w:szCs w:val="24"/>
                <w:lang w:val="en-US" w:eastAsia="en-GB"/>
              </w:rPr>
            </w:pPr>
          </w:p>
        </w:tc>
      </w:tr>
      <w:tr w:rsidR="00551052" w:rsidRPr="007F252C" w14:paraId="142EA8F8" w14:textId="77777777" w:rsidTr="00072EE6">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3163" w14:textId="696831C9" w:rsidR="00551052" w:rsidRPr="007F252C" w:rsidRDefault="000E4334" w:rsidP="003C3805">
            <w:pPr>
              <w:suppressAutoHyphens/>
              <w:autoSpaceDN w:val="0"/>
              <w:ind w:right="141"/>
              <w:textAlignment w:val="baseline"/>
              <w:rPr>
                <w:rFonts w:cs="Arial"/>
                <w:szCs w:val="24"/>
                <w:lang w:val="en-US" w:eastAsia="en-GB"/>
              </w:rPr>
            </w:pPr>
            <w:r>
              <w:rPr>
                <w:rFonts w:cs="Arial"/>
                <w:szCs w:val="24"/>
                <w:lang w:val="en-US" w:eastAsia="en-GB"/>
              </w:rPr>
              <w:t>Powers to c</w:t>
            </w:r>
            <w:r w:rsidR="00551052">
              <w:rPr>
                <w:rFonts w:cs="Arial"/>
                <w:szCs w:val="24"/>
                <w:lang w:val="en-US" w:eastAsia="en-GB"/>
              </w:rPr>
              <w:t>harge</w:t>
            </w:r>
            <w:r>
              <w:rPr>
                <w:rFonts w:cs="Arial"/>
                <w:szCs w:val="24"/>
                <w:lang w:val="en-US" w:eastAsia="en-GB"/>
              </w:rPr>
              <w:t xml:space="preserve"> are</w:t>
            </w:r>
            <w:r w:rsidR="00551052">
              <w:rPr>
                <w:rFonts w:cs="Arial"/>
                <w:szCs w:val="24"/>
                <w:lang w:val="en-US" w:eastAsia="en-GB"/>
              </w:rPr>
              <w:t xml:space="preserve"> </w:t>
            </w:r>
            <w:r w:rsidR="001C3BAF">
              <w:rPr>
                <w:rFonts w:cs="Arial"/>
                <w:szCs w:val="24"/>
                <w:lang w:val="en-US" w:eastAsia="en-GB"/>
              </w:rPr>
              <w:t>exceed</w:t>
            </w:r>
            <w:r>
              <w:rPr>
                <w:rFonts w:cs="Arial"/>
                <w:szCs w:val="24"/>
                <w:lang w:val="en-US" w:eastAsia="en-GB"/>
              </w:rPr>
              <w:t>ed</w:t>
            </w:r>
            <w:r w:rsidR="001C3BAF">
              <w:rPr>
                <w:rFonts w:cs="Arial"/>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A90E" w14:textId="2F290943" w:rsidR="003C218E" w:rsidRDefault="003C218E"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 xml:space="preserve">When new charges are set, the service will set the charge at a level to </w:t>
            </w:r>
            <w:r w:rsidR="00CD3D50">
              <w:rPr>
                <w:rFonts w:cs="Arial"/>
                <w:szCs w:val="24"/>
                <w:lang w:val="en-US" w:eastAsia="en-GB"/>
              </w:rPr>
              <w:t xml:space="preserve">either </w:t>
            </w:r>
            <w:r>
              <w:rPr>
                <w:rFonts w:cs="Arial"/>
                <w:szCs w:val="24"/>
                <w:lang w:val="en-US" w:eastAsia="en-GB"/>
              </w:rPr>
              <w:t>recover costs or for the charge to be subsidized and therefore it is set at a level where costs are not over recovered.</w:t>
            </w:r>
          </w:p>
          <w:p w14:paraId="5E55291D" w14:textId="77777777" w:rsidR="00CD3D50" w:rsidRDefault="00CD3D50" w:rsidP="00072EE6">
            <w:pPr>
              <w:suppressAutoHyphens/>
              <w:autoSpaceDN w:val="0"/>
              <w:ind w:left="171" w:right="141"/>
              <w:textAlignment w:val="baseline"/>
              <w:rPr>
                <w:rFonts w:cs="Arial"/>
                <w:szCs w:val="24"/>
                <w:lang w:val="en-US" w:eastAsia="en-GB"/>
              </w:rPr>
            </w:pPr>
          </w:p>
          <w:p w14:paraId="78A187AB" w14:textId="35404A7D" w:rsidR="003C218E" w:rsidRDefault="003C218E"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 xml:space="preserve">Where fees and charges exceeded the cost of providing the service, the service budget would </w:t>
            </w:r>
            <w:r w:rsidR="000E4334">
              <w:rPr>
                <w:rFonts w:cs="Arial"/>
                <w:szCs w:val="24"/>
                <w:lang w:val="en-US" w:eastAsia="en-GB"/>
              </w:rPr>
              <w:t xml:space="preserve">be a </w:t>
            </w:r>
            <w:r>
              <w:rPr>
                <w:rFonts w:cs="Arial"/>
                <w:szCs w:val="24"/>
                <w:lang w:val="en-US" w:eastAsia="en-GB"/>
              </w:rPr>
              <w:t xml:space="preserve">net income budget and not a </w:t>
            </w:r>
            <w:r w:rsidR="00A820C7">
              <w:rPr>
                <w:rFonts w:cs="Arial"/>
                <w:szCs w:val="24"/>
                <w:lang w:val="en-US" w:eastAsia="en-GB"/>
              </w:rPr>
              <w:t xml:space="preserve">net </w:t>
            </w:r>
            <w:r>
              <w:rPr>
                <w:rFonts w:cs="Arial"/>
                <w:szCs w:val="24"/>
                <w:lang w:val="en-US" w:eastAsia="en-GB"/>
              </w:rPr>
              <w:t>cost budge</w:t>
            </w:r>
            <w:r w:rsidR="00A820C7">
              <w:rPr>
                <w:rFonts w:cs="Arial"/>
                <w:szCs w:val="24"/>
                <w:lang w:val="en-US" w:eastAsia="en-GB"/>
              </w:rPr>
              <w:t xml:space="preserve">t </w:t>
            </w:r>
            <w:r w:rsidR="001C3BAF">
              <w:rPr>
                <w:rFonts w:cs="Arial"/>
                <w:szCs w:val="24"/>
                <w:lang w:val="en-US" w:eastAsia="en-GB"/>
              </w:rPr>
              <w:t>which would be adjusted accordingly in the following year.</w:t>
            </w:r>
          </w:p>
          <w:p w14:paraId="67C2F5B4" w14:textId="18A998E0" w:rsidR="00551052" w:rsidRPr="003C218E" w:rsidRDefault="00551052" w:rsidP="00063796">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3D58D6A1" w14:textId="4FCD4936" w:rsidR="00551052" w:rsidRPr="007F252C" w:rsidRDefault="00EB25BD" w:rsidP="003C3805">
            <w:pPr>
              <w:suppressAutoHyphens/>
              <w:autoSpaceDN w:val="0"/>
              <w:ind w:right="141"/>
              <w:textAlignment w:val="baseline"/>
              <w:rPr>
                <w:rFonts w:cs="Arial"/>
                <w:szCs w:val="24"/>
                <w:lang w:val="en-US" w:eastAsia="en-GB"/>
              </w:rPr>
            </w:pPr>
            <w:r>
              <w:rPr>
                <w:rFonts w:cs="Arial"/>
                <w:szCs w:val="24"/>
                <w:lang w:val="en-US" w:eastAsia="en-GB"/>
              </w:rPr>
              <w:t>Green</w:t>
            </w:r>
          </w:p>
        </w:tc>
      </w:tr>
    </w:tbl>
    <w:p w14:paraId="31BD8890" w14:textId="685B4072" w:rsidR="001207F1" w:rsidRDefault="001207F1" w:rsidP="001D1F3B">
      <w:pPr>
        <w:ind w:left="561" w:hanging="561"/>
        <w:jc w:val="both"/>
        <w:rPr>
          <w:rFonts w:cs="Arial"/>
          <w:szCs w:val="24"/>
          <w:lang w:val="en-US"/>
        </w:rPr>
      </w:pPr>
    </w:p>
    <w:p w14:paraId="4F2CDC38" w14:textId="117E7BDB" w:rsidR="00AA75AD" w:rsidRDefault="00AA75AD" w:rsidP="00D63F67">
      <w:pPr>
        <w:pStyle w:val="Heading2"/>
        <w:jc w:val="both"/>
      </w:pPr>
      <w:r>
        <w:t>Legal</w:t>
      </w:r>
      <w:r w:rsidRPr="00734C10">
        <w:t xml:space="preserve"> Implications</w:t>
      </w:r>
      <w:r w:rsidR="007335E4">
        <w:t>:</w:t>
      </w:r>
      <w:r w:rsidR="007335E4" w:rsidRPr="007335E4">
        <w:t xml:space="preserve"> </w:t>
      </w:r>
      <w:r w:rsidR="007335E4" w:rsidRPr="00734C10">
        <w:t xml:space="preserve">Powers to Charge </w:t>
      </w:r>
    </w:p>
    <w:p w14:paraId="3C622EDD" w14:textId="77777777" w:rsidR="00EB25BD" w:rsidRPr="00EB25BD" w:rsidRDefault="00EB25BD" w:rsidP="00EB25BD"/>
    <w:p w14:paraId="07093D5E" w14:textId="77777777" w:rsidR="007335E4" w:rsidRDefault="005169D1" w:rsidP="00EB6498">
      <w:pPr>
        <w:pStyle w:val="ListParagraph"/>
        <w:numPr>
          <w:ilvl w:val="0"/>
          <w:numId w:val="96"/>
        </w:numPr>
      </w:pPr>
      <w:r w:rsidRPr="005169D1">
        <w:t>Local authorities have a variety of powers to charge for specific statutory services set out in statute</w:t>
      </w:r>
      <w:r w:rsidR="007335E4">
        <w:t>.</w:t>
      </w:r>
    </w:p>
    <w:p w14:paraId="0883FDA4" w14:textId="77777777" w:rsidR="007335E4" w:rsidRDefault="007335E4" w:rsidP="007335E4">
      <w:pPr>
        <w:ind w:firstLine="135"/>
      </w:pPr>
    </w:p>
    <w:p w14:paraId="4AA642C9" w14:textId="71F971A6" w:rsidR="005169D1" w:rsidRDefault="005169D1" w:rsidP="00EB6498">
      <w:pPr>
        <w:pStyle w:val="ListParagraph"/>
        <w:numPr>
          <w:ilvl w:val="0"/>
          <w:numId w:val="96"/>
        </w:numPr>
        <w:jc w:val="both"/>
      </w:pPr>
      <w:r>
        <w:t xml:space="preserve">The Local Government Act 2003 also provides a power to trade and a power to charge for discretionary services, the latter on a cost recovery basis.  The power to charge for discretionary services is </w:t>
      </w:r>
      <w:r w:rsidRPr="005C21A0">
        <w:rPr>
          <w:iCs/>
        </w:rPr>
        <w:t>not</w:t>
      </w:r>
      <w:r>
        <w:t xml:space="preserve"> available to local authorities if there is a statutory duty to provide the service or if there is a specific power to charge for it or if there is a prohibition on charging</w:t>
      </w:r>
      <w:r w:rsidR="0084550B">
        <w:t>.</w:t>
      </w:r>
    </w:p>
    <w:p w14:paraId="675CFA6D" w14:textId="77777777" w:rsidR="005169D1" w:rsidRDefault="005169D1" w:rsidP="005169D1">
      <w:pPr>
        <w:pStyle w:val="ListParagraph"/>
      </w:pPr>
    </w:p>
    <w:p w14:paraId="75000687" w14:textId="77777777" w:rsidR="005169D1" w:rsidRDefault="005169D1" w:rsidP="00EB6498">
      <w:pPr>
        <w:pStyle w:val="ListParagraph"/>
        <w:numPr>
          <w:ilvl w:val="0"/>
          <w:numId w:val="96"/>
        </w:numPr>
        <w:jc w:val="both"/>
      </w:pPr>
      <w:r>
        <w:t>Additionally, the Localism Act 2011 provides local authorities with a general power of competence that confers on them the power to charge for services but again subject to conditions/limitations similar to those noted above.</w:t>
      </w:r>
    </w:p>
    <w:p w14:paraId="1D076E91" w14:textId="77777777" w:rsidR="00203738" w:rsidRDefault="00203738" w:rsidP="005C21A0">
      <w:pPr>
        <w:pStyle w:val="ListParagraph"/>
      </w:pPr>
    </w:p>
    <w:p w14:paraId="41297E87" w14:textId="77777777" w:rsidR="00203738" w:rsidRDefault="00203738" w:rsidP="00EB6498">
      <w:pPr>
        <w:pStyle w:val="ListParagraph"/>
        <w:numPr>
          <w:ilvl w:val="0"/>
          <w:numId w:val="96"/>
        </w:numPr>
        <w:jc w:val="both"/>
      </w:pPr>
      <w:r>
        <w:t>Where authorities have a duty to provide a statutory service free of charge to a certain standard, no charge can be made for delivery to that standard, however delivery beyond that point may constitute a discretionary service for which a charge could be made.</w:t>
      </w:r>
    </w:p>
    <w:p w14:paraId="6FE7D051" w14:textId="77777777" w:rsidR="00203738" w:rsidRDefault="00203738" w:rsidP="005C21A0">
      <w:pPr>
        <w:pStyle w:val="ListParagraph"/>
      </w:pPr>
    </w:p>
    <w:p w14:paraId="2B2F9403" w14:textId="77777777" w:rsidR="007037C2" w:rsidRPr="007037C2" w:rsidRDefault="00220252" w:rsidP="00EB6498">
      <w:pPr>
        <w:pStyle w:val="ListParagraph"/>
        <w:numPr>
          <w:ilvl w:val="0"/>
          <w:numId w:val="96"/>
        </w:numPr>
        <w:jc w:val="both"/>
      </w:pPr>
      <w:r w:rsidRPr="00220252">
        <w:rPr>
          <w:szCs w:val="24"/>
        </w:rPr>
        <w:t xml:space="preserve">All items/services listed in the appendices are pursuant to a power to provide the relevant service whether it is provided because of a statutory obligation to do so, or on a discretionary basis where the authority is not </w:t>
      </w:r>
      <w:r w:rsidRPr="00220252">
        <w:rPr>
          <w:szCs w:val="24"/>
        </w:rPr>
        <w:lastRenderedPageBreak/>
        <w:t xml:space="preserve">obliged to provide the service but can choose to do so.  In relation to the latter, an authority charging for such services would do so on a cost recovery basis, pursuant to the Local Government Act 2003/Localism Act 2011. </w:t>
      </w:r>
    </w:p>
    <w:p w14:paraId="5B4DEFCF" w14:textId="77777777" w:rsidR="007037C2" w:rsidRPr="007037C2" w:rsidRDefault="007037C2" w:rsidP="005D657C">
      <w:pPr>
        <w:pStyle w:val="ListParagraph"/>
        <w:rPr>
          <w:szCs w:val="24"/>
        </w:rPr>
      </w:pPr>
    </w:p>
    <w:p w14:paraId="57F5C54B" w14:textId="77777777" w:rsidR="007037C2" w:rsidRPr="00E503BF" w:rsidRDefault="00220252" w:rsidP="00EB6498">
      <w:pPr>
        <w:pStyle w:val="ListParagraph"/>
        <w:numPr>
          <w:ilvl w:val="0"/>
          <w:numId w:val="96"/>
        </w:numPr>
        <w:jc w:val="both"/>
        <w:rPr>
          <w:szCs w:val="24"/>
        </w:rPr>
      </w:pPr>
      <w:r w:rsidRPr="00220252">
        <w:rPr>
          <w:szCs w:val="24"/>
        </w:rPr>
        <w:t xml:space="preserve"> </w:t>
      </w:r>
      <w:r w:rsidR="007037C2" w:rsidRPr="00220252">
        <w:rPr>
          <w:szCs w:val="24"/>
        </w:rPr>
        <w:t>In the appendices to this report, the column titled ‘Basis for charging’ indicates whether the fee stated is prescribed by statute (as a set amount or up to an amount) in which case it is noted as ‘statutory</w:t>
      </w:r>
      <w:r w:rsidR="007037C2">
        <w:rPr>
          <w:szCs w:val="24"/>
        </w:rPr>
        <w:t xml:space="preserve"> prescribed</w:t>
      </w:r>
      <w:r w:rsidR="007037C2" w:rsidRPr="00220252">
        <w:rPr>
          <w:szCs w:val="24"/>
        </w:rPr>
        <w:t>’ or</w:t>
      </w:r>
      <w:r w:rsidR="007037C2">
        <w:rPr>
          <w:szCs w:val="24"/>
        </w:rPr>
        <w:t xml:space="preserve"> </w:t>
      </w:r>
      <w:r w:rsidR="007037C2" w:rsidRPr="00A205A0">
        <w:rPr>
          <w:szCs w:val="24"/>
        </w:rPr>
        <w:t xml:space="preserve">‘statutory discretionary’ </w:t>
      </w:r>
      <w:r w:rsidR="007037C2" w:rsidRPr="00E503BF">
        <w:rPr>
          <w:color w:val="000000"/>
          <w:szCs w:val="24"/>
        </w:rPr>
        <w:t xml:space="preserve"> </w:t>
      </w:r>
      <w:r w:rsidR="007037C2">
        <w:rPr>
          <w:color w:val="000000"/>
          <w:szCs w:val="24"/>
        </w:rPr>
        <w:t xml:space="preserve">where </w:t>
      </w:r>
      <w:r w:rsidR="007037C2" w:rsidRPr="00E503BF">
        <w:rPr>
          <w:color w:val="000000"/>
          <w:szCs w:val="24"/>
        </w:rPr>
        <w:t xml:space="preserve">legislation provides that you may charge for providing a service but the amount of the charge is discretionary, within the remit of the legislation </w:t>
      </w:r>
      <w:r w:rsidR="007037C2">
        <w:rPr>
          <w:color w:val="000000"/>
          <w:szCs w:val="24"/>
        </w:rPr>
        <w:t xml:space="preserve">e.g. </w:t>
      </w:r>
      <w:r w:rsidR="007037C2" w:rsidRPr="00E503BF">
        <w:rPr>
          <w:color w:val="000000"/>
          <w:szCs w:val="24"/>
        </w:rPr>
        <w:t>the charge may be limited to cost recovery, reasonable cost or based on consideration of prescribed matters</w:t>
      </w:r>
      <w:r w:rsidR="007037C2">
        <w:rPr>
          <w:color w:val="000000"/>
          <w:szCs w:val="24"/>
        </w:rPr>
        <w:t>, or as ‘discretionary’ which is w</w:t>
      </w:r>
      <w:r w:rsidR="007037C2" w:rsidRPr="00E503BF">
        <w:rPr>
          <w:color w:val="000000"/>
          <w:szCs w:val="24"/>
        </w:rPr>
        <w:t>here the authority is not obliged to provide the service but if it does so then the charges</w:t>
      </w:r>
      <w:r w:rsidR="007037C2">
        <w:rPr>
          <w:color w:val="000000"/>
          <w:szCs w:val="24"/>
        </w:rPr>
        <w:t xml:space="preserve"> ar</w:t>
      </w:r>
      <w:r w:rsidR="007037C2" w:rsidRPr="00E503BF">
        <w:rPr>
          <w:color w:val="000000"/>
          <w:szCs w:val="24"/>
        </w:rPr>
        <w:t>e based on cos</w:t>
      </w:r>
      <w:r w:rsidR="007037C2">
        <w:rPr>
          <w:color w:val="000000"/>
          <w:szCs w:val="24"/>
        </w:rPr>
        <w:t>t</w:t>
      </w:r>
      <w:r w:rsidR="007037C2" w:rsidRPr="00E503BF">
        <w:rPr>
          <w:color w:val="000000"/>
          <w:szCs w:val="24"/>
        </w:rPr>
        <w:t xml:space="preserve"> recovery</w:t>
      </w:r>
      <w:r w:rsidR="007037C2">
        <w:rPr>
          <w:color w:val="000000"/>
          <w:szCs w:val="24"/>
        </w:rPr>
        <w:t xml:space="preserve"> pursuant to </w:t>
      </w:r>
      <w:r w:rsidR="007037C2" w:rsidRPr="00E503BF">
        <w:rPr>
          <w:color w:val="000000"/>
          <w:szCs w:val="24"/>
        </w:rPr>
        <w:t>the statutory power to charge in Local Government Act 2003/Localism Act 2011</w:t>
      </w:r>
      <w:r w:rsidR="007037C2">
        <w:rPr>
          <w:color w:val="000000"/>
          <w:szCs w:val="24"/>
        </w:rPr>
        <w:t>.</w:t>
      </w:r>
    </w:p>
    <w:p w14:paraId="0A9EBA12" w14:textId="77777777" w:rsidR="00AA75AD" w:rsidRDefault="00AA75AD" w:rsidP="00AA75AD">
      <w:pPr>
        <w:pStyle w:val="Heading2"/>
        <w:jc w:val="both"/>
      </w:pPr>
    </w:p>
    <w:p w14:paraId="065506A1" w14:textId="1DACB7DE" w:rsidR="00AA75AD" w:rsidRDefault="00AA75AD" w:rsidP="00D63F67">
      <w:pPr>
        <w:pStyle w:val="Heading2"/>
        <w:jc w:val="both"/>
      </w:pPr>
      <w:r w:rsidRPr="00734C10">
        <w:t>Financial Implications</w:t>
      </w:r>
    </w:p>
    <w:p w14:paraId="0616827D" w14:textId="77777777" w:rsidR="00EB25BD" w:rsidRPr="00EB25BD" w:rsidRDefault="00EB25BD" w:rsidP="00EB25BD"/>
    <w:p w14:paraId="06EC09E9" w14:textId="77777777" w:rsidR="000C680D" w:rsidRDefault="000C680D" w:rsidP="00EB6498">
      <w:pPr>
        <w:pStyle w:val="ListParagraph"/>
        <w:numPr>
          <w:ilvl w:val="0"/>
          <w:numId w:val="96"/>
        </w:numPr>
        <w:jc w:val="both"/>
      </w:pPr>
      <w:r>
        <w:t xml:space="preserve">The increase in fees and charges income will either have been included in the budget as an MTFS saving or be used to offset the operational costs of the service, for example, the inflationary increases in running costs. </w:t>
      </w:r>
    </w:p>
    <w:p w14:paraId="2844E4B2" w14:textId="77777777" w:rsidR="00947F25" w:rsidRDefault="00947F25" w:rsidP="00A43E9D">
      <w:pPr>
        <w:pStyle w:val="ListParagraph"/>
        <w:ind w:left="360"/>
        <w:jc w:val="both"/>
      </w:pPr>
    </w:p>
    <w:p w14:paraId="76064B37" w14:textId="2898A9C9" w:rsidR="00947F25" w:rsidRDefault="00947F25" w:rsidP="00D63F67">
      <w:pPr>
        <w:pStyle w:val="Heading2"/>
        <w:jc w:val="both"/>
      </w:pPr>
      <w:r>
        <w:t>Procurement Implications</w:t>
      </w:r>
    </w:p>
    <w:p w14:paraId="03B65C97" w14:textId="77777777" w:rsidR="00EB25BD" w:rsidRPr="00EB25BD" w:rsidRDefault="00EB25BD" w:rsidP="00EB25BD"/>
    <w:p w14:paraId="6A8072EA" w14:textId="77777777" w:rsidR="00947F25" w:rsidRPr="00D06977" w:rsidRDefault="00947F25" w:rsidP="00EB6498">
      <w:pPr>
        <w:pStyle w:val="ListParagraph"/>
        <w:numPr>
          <w:ilvl w:val="0"/>
          <w:numId w:val="96"/>
        </w:numPr>
        <w:jc w:val="both"/>
      </w:pPr>
      <w:r>
        <w:t>There are no Procurement implications arising from this report.</w:t>
      </w:r>
    </w:p>
    <w:p w14:paraId="5CC5779D" w14:textId="77777777" w:rsidR="000C680D" w:rsidRPr="000C680D" w:rsidRDefault="000C680D" w:rsidP="00D5620A"/>
    <w:p w14:paraId="1E8A9E80" w14:textId="060AB4CC" w:rsidR="00AA75AD" w:rsidRDefault="00AA75AD" w:rsidP="00D63F67">
      <w:pPr>
        <w:pStyle w:val="Heading2"/>
        <w:keepNext/>
      </w:pPr>
      <w:r w:rsidRPr="004A2543">
        <w:t>Equalities implications</w:t>
      </w:r>
      <w:r>
        <w:t xml:space="preserve"> </w:t>
      </w:r>
      <w:r w:rsidRPr="00333FAA">
        <w:t>/</w:t>
      </w:r>
      <w:r>
        <w:t xml:space="preserve"> </w:t>
      </w:r>
      <w:r w:rsidRPr="00333FAA">
        <w:t>Public Sector Equality Duty</w:t>
      </w:r>
    </w:p>
    <w:p w14:paraId="63C6A277" w14:textId="77777777" w:rsidR="00EB25BD" w:rsidRPr="00EB25BD" w:rsidRDefault="00EB25BD" w:rsidP="00EB25BD"/>
    <w:p w14:paraId="46EF4D85" w14:textId="77777777" w:rsidR="009326E8" w:rsidRPr="00EB6498" w:rsidRDefault="009326E8" w:rsidP="00EB6498">
      <w:pPr>
        <w:pStyle w:val="ListParagraph"/>
        <w:numPr>
          <w:ilvl w:val="0"/>
          <w:numId w:val="96"/>
        </w:numPr>
      </w:pPr>
      <w:r w:rsidRPr="00D63F67">
        <w:t>Section 149 of the Equalities Act 2010 created the public sector equality duty.  Section 149 states that:-</w:t>
      </w:r>
    </w:p>
    <w:p w14:paraId="657DC9EC" w14:textId="77777777" w:rsidR="009326E8" w:rsidRPr="00EB6498" w:rsidRDefault="009326E8" w:rsidP="00A5798B"/>
    <w:p w14:paraId="25B83E13" w14:textId="77777777" w:rsidR="009326E8" w:rsidRPr="00EB6498" w:rsidRDefault="009326E8" w:rsidP="00EB6498">
      <w:pPr>
        <w:pStyle w:val="ListParagraph"/>
        <w:numPr>
          <w:ilvl w:val="0"/>
          <w:numId w:val="96"/>
        </w:numPr>
      </w:pPr>
      <w:r w:rsidRPr="00D63F67">
        <w:t>A public authority must, in the exercise of its functions, have due regard to the need to:</w:t>
      </w:r>
    </w:p>
    <w:p w14:paraId="2832227D" w14:textId="77777777" w:rsidR="009326E8" w:rsidRDefault="009326E8" w:rsidP="009326E8">
      <w:pPr>
        <w:pStyle w:val="Style1073741826"/>
        <w:ind w:left="561"/>
        <w:jc w:val="both"/>
        <w:rPr>
          <w:b w:val="0"/>
          <w:bCs w:val="0"/>
          <w:color w:val="000000"/>
        </w:rPr>
      </w:pPr>
    </w:p>
    <w:p w14:paraId="2661E91B" w14:textId="1A1CFEFE" w:rsidR="009326E8" w:rsidRDefault="009326E8" w:rsidP="00EB6498">
      <w:pPr>
        <w:pStyle w:val="Style1073741826"/>
        <w:numPr>
          <w:ilvl w:val="1"/>
          <w:numId w:val="96"/>
        </w:numPr>
        <w:jc w:val="both"/>
        <w:rPr>
          <w:b w:val="0"/>
          <w:bCs w:val="0"/>
          <w:color w:val="000000"/>
        </w:rPr>
      </w:pPr>
      <w:r>
        <w:rPr>
          <w:b w:val="0"/>
          <w:bCs w:val="0"/>
          <w:color w:val="000000"/>
        </w:rPr>
        <w:t>Eliminate discrimination, harassment, victimisation and any other conduct that is prohibited by or under the Act;</w:t>
      </w:r>
    </w:p>
    <w:p w14:paraId="15388688" w14:textId="77777777" w:rsidR="009326E8" w:rsidRDefault="009326E8" w:rsidP="009326E8">
      <w:pPr>
        <w:pStyle w:val="Style1073741826"/>
        <w:jc w:val="both"/>
        <w:rPr>
          <w:b w:val="0"/>
          <w:bCs w:val="0"/>
          <w:color w:val="000000"/>
        </w:rPr>
      </w:pPr>
    </w:p>
    <w:p w14:paraId="348DBB17" w14:textId="61BEB4F7" w:rsidR="009326E8" w:rsidRDefault="009326E8" w:rsidP="00EB6498">
      <w:pPr>
        <w:pStyle w:val="Style1073741826"/>
        <w:numPr>
          <w:ilvl w:val="1"/>
          <w:numId w:val="96"/>
        </w:numPr>
        <w:jc w:val="both"/>
        <w:rPr>
          <w:b w:val="0"/>
          <w:bCs w:val="0"/>
          <w:color w:val="000000"/>
        </w:rPr>
      </w:pPr>
      <w:r>
        <w:rPr>
          <w:b w:val="0"/>
          <w:bCs w:val="0"/>
          <w:color w:val="000000"/>
        </w:rPr>
        <w:t>Advance equality of opportunity between persons who share a relevant protected characteristic and persons who do not share it;</w:t>
      </w:r>
    </w:p>
    <w:p w14:paraId="3C4F3739" w14:textId="77777777" w:rsidR="009326E8" w:rsidRDefault="009326E8" w:rsidP="009326E8">
      <w:pPr>
        <w:pStyle w:val="Style1073741826"/>
        <w:jc w:val="both"/>
        <w:rPr>
          <w:b w:val="0"/>
          <w:bCs w:val="0"/>
          <w:color w:val="000000"/>
        </w:rPr>
      </w:pPr>
    </w:p>
    <w:p w14:paraId="460665B1" w14:textId="1BD0301B" w:rsidR="009326E8" w:rsidRDefault="009326E8" w:rsidP="00EB6498">
      <w:pPr>
        <w:pStyle w:val="Style1073741826"/>
        <w:numPr>
          <w:ilvl w:val="1"/>
          <w:numId w:val="96"/>
        </w:numPr>
        <w:jc w:val="both"/>
        <w:rPr>
          <w:b w:val="0"/>
          <w:bCs w:val="0"/>
          <w:color w:val="000000"/>
        </w:rPr>
      </w:pPr>
      <w:r>
        <w:rPr>
          <w:b w:val="0"/>
          <w:bCs w:val="0"/>
          <w:color w:val="000000"/>
        </w:rPr>
        <w:t>Foster good relations between persons who share a relevant protected characteristic and persons who do not share it.</w:t>
      </w:r>
    </w:p>
    <w:p w14:paraId="7E7804EC" w14:textId="77777777" w:rsidR="009326E8" w:rsidRDefault="009326E8" w:rsidP="009326E8">
      <w:pPr>
        <w:jc w:val="both"/>
      </w:pPr>
    </w:p>
    <w:p w14:paraId="5D61D8D4" w14:textId="77777777" w:rsidR="009326E8" w:rsidRDefault="009326E8" w:rsidP="00EB6498">
      <w:pPr>
        <w:pStyle w:val="ListParagraph"/>
        <w:numPr>
          <w:ilvl w:val="0"/>
          <w:numId w:val="96"/>
        </w:numPr>
        <w:spacing w:after="240"/>
      </w:pPr>
      <w:r>
        <w:t xml:space="preserve">The relevant protected characteristics are age, race, disability, gender reassignment, pregnancy and maternity, religion or belief, sex and sexual orientation.  </w:t>
      </w:r>
    </w:p>
    <w:p w14:paraId="0DC82A0A" w14:textId="77777777" w:rsidR="009326E8" w:rsidRDefault="009326E8" w:rsidP="00EB6498">
      <w:pPr>
        <w:pStyle w:val="ListParagraph"/>
        <w:numPr>
          <w:ilvl w:val="0"/>
          <w:numId w:val="96"/>
        </w:numPr>
        <w:spacing w:after="240"/>
      </w:pPr>
      <w:r>
        <w:t xml:space="preserve">When making decisions in relation to service provision, the Council must take account of the equality duty and in particular any potential impact on protected groups.  Each proposal has been prepared in accordance with the Council’s </w:t>
      </w:r>
      <w:r w:rsidR="00950E4E">
        <w:t xml:space="preserve">charging </w:t>
      </w:r>
      <w:r>
        <w:t xml:space="preserve">policy regarding fees and charges. </w:t>
      </w:r>
    </w:p>
    <w:p w14:paraId="5301801F" w14:textId="1CA10E66" w:rsidR="009326E8" w:rsidRDefault="00EC7424" w:rsidP="00EB6498">
      <w:pPr>
        <w:pStyle w:val="ListParagraph"/>
        <w:numPr>
          <w:ilvl w:val="0"/>
          <w:numId w:val="96"/>
        </w:numPr>
        <w:jc w:val="both"/>
      </w:pPr>
      <w:r>
        <w:lastRenderedPageBreak/>
        <w:t xml:space="preserve">Some </w:t>
      </w:r>
      <w:r w:rsidR="009326E8">
        <w:t xml:space="preserve">charges </w:t>
      </w:r>
      <w:r w:rsidR="0096523A">
        <w:t>will not</w:t>
      </w:r>
      <w:r>
        <w:t xml:space="preserve"> increase </w:t>
      </w:r>
      <w:r w:rsidR="009326E8">
        <w:t>in 20</w:t>
      </w:r>
      <w:r w:rsidR="00765B91">
        <w:t>2</w:t>
      </w:r>
      <w:r w:rsidR="008100CD">
        <w:t>2</w:t>
      </w:r>
      <w:r w:rsidR="009326E8">
        <w:t>/</w:t>
      </w:r>
      <w:r w:rsidR="00A97E46">
        <w:t>2</w:t>
      </w:r>
      <w:r w:rsidR="008100CD">
        <w:t>3</w:t>
      </w:r>
      <w:r w:rsidR="00D07FEE">
        <w:t xml:space="preserve"> </w:t>
      </w:r>
      <w:r>
        <w:t>and some will be reduced</w:t>
      </w:r>
      <w:r w:rsidR="005F6BAB">
        <w:t>.</w:t>
      </w:r>
      <w:r w:rsidR="009326E8">
        <w:t xml:space="preserve">  In others, the level of charge is set by Government and not within the Council’s control.  </w:t>
      </w:r>
    </w:p>
    <w:p w14:paraId="7B9D11D4" w14:textId="77777777" w:rsidR="009326E8" w:rsidRDefault="009326E8" w:rsidP="00A5798B"/>
    <w:p w14:paraId="53C1F9C9" w14:textId="06E2EF6C" w:rsidR="006B3FEC" w:rsidRDefault="009326E8" w:rsidP="00EB6498">
      <w:pPr>
        <w:pStyle w:val="ListParagraph"/>
        <w:numPr>
          <w:ilvl w:val="0"/>
          <w:numId w:val="96"/>
        </w:numPr>
        <w:jc w:val="both"/>
      </w:pPr>
      <w:r>
        <w:t>Many of the charges where increases are proposed relate to discretionary services such as hiring playing fields</w:t>
      </w:r>
      <w:r w:rsidR="00EC7424">
        <w:t xml:space="preserve"> and</w:t>
      </w:r>
      <w:r>
        <w:t xml:space="preserve"> rooms at the arts centre</w:t>
      </w:r>
      <w:r w:rsidR="00D07FEE">
        <w:t xml:space="preserve"> </w:t>
      </w:r>
      <w:r>
        <w:t xml:space="preserve">and would not be considered as essential goods that would contribute to a calculation of increases in the cost of living.  It is not possible to calculate the percentage increase across the </w:t>
      </w:r>
      <w:r w:rsidR="00BA55A1">
        <w:t>b</w:t>
      </w:r>
      <w:r>
        <w:t>oard as this would depend on the number of times each service was accessed</w:t>
      </w:r>
      <w:r w:rsidR="00E21FDD">
        <w:t xml:space="preserve">. A number of the charges are being increased by about </w:t>
      </w:r>
      <w:r w:rsidR="008100CD">
        <w:t>5</w:t>
      </w:r>
      <w:r w:rsidR="00E21FDD">
        <w:t xml:space="preserve">%, reflecting that most services do not currently recover their full costs. </w:t>
      </w:r>
      <w:r>
        <w:t xml:space="preserve"> </w:t>
      </w:r>
      <w:r w:rsidR="00E21FDD">
        <w:t xml:space="preserve">This is in the context of inflation as measured by the </w:t>
      </w:r>
      <w:r>
        <w:t xml:space="preserve">Retail Price Index </w:t>
      </w:r>
      <w:r w:rsidR="00E21FDD">
        <w:t xml:space="preserve">being </w:t>
      </w:r>
      <w:r w:rsidR="008100CD">
        <w:t>4.9</w:t>
      </w:r>
      <w:r w:rsidR="00E21FDD">
        <w:t xml:space="preserve">% </w:t>
      </w:r>
      <w:r>
        <w:t xml:space="preserve">as at </w:t>
      </w:r>
      <w:r w:rsidR="00724F73">
        <w:t xml:space="preserve">September </w:t>
      </w:r>
      <w:r w:rsidR="00E21FDD">
        <w:t>20</w:t>
      </w:r>
      <w:r w:rsidR="00687EF5">
        <w:t>2</w:t>
      </w:r>
      <w:r w:rsidR="008100CD">
        <w:t>1</w:t>
      </w:r>
      <w:r>
        <w:t>.</w:t>
      </w:r>
      <w:r w:rsidR="00E21FDD">
        <w:t xml:space="preserve"> The difference </w:t>
      </w:r>
      <w:r w:rsidR="001E599A">
        <w:t xml:space="preserve">in most cases </w:t>
      </w:r>
      <w:r w:rsidR="00E21FDD">
        <w:t xml:space="preserve">represents </w:t>
      </w:r>
      <w:r w:rsidR="00950E4E">
        <w:t xml:space="preserve">a </w:t>
      </w:r>
      <w:r w:rsidR="00E21FDD">
        <w:t>small movement towards full cost recovery.</w:t>
      </w:r>
    </w:p>
    <w:p w14:paraId="539872F4" w14:textId="77777777" w:rsidR="006B3FEC" w:rsidRDefault="006B3FEC" w:rsidP="006B3FEC">
      <w:pPr>
        <w:rPr>
          <w:b/>
          <w:sz w:val="28"/>
          <w:szCs w:val="28"/>
        </w:rPr>
      </w:pPr>
    </w:p>
    <w:p w14:paraId="1A7ED9CD" w14:textId="656F2087" w:rsidR="004E0A80" w:rsidRDefault="004E0A80" w:rsidP="00D63F67">
      <w:pPr>
        <w:rPr>
          <w:b/>
          <w:sz w:val="28"/>
          <w:szCs w:val="28"/>
        </w:rPr>
      </w:pPr>
      <w:r w:rsidRPr="00EB6498">
        <w:rPr>
          <w:b/>
          <w:sz w:val="28"/>
          <w:szCs w:val="28"/>
        </w:rPr>
        <w:t>Council Priorities</w:t>
      </w:r>
    </w:p>
    <w:p w14:paraId="733FB51B" w14:textId="77777777" w:rsidR="00EB25BD" w:rsidRPr="00EB6498" w:rsidRDefault="00EB25BD" w:rsidP="00D63F67">
      <w:pPr>
        <w:rPr>
          <w:b/>
          <w:sz w:val="28"/>
          <w:szCs w:val="28"/>
        </w:rPr>
      </w:pPr>
    </w:p>
    <w:p w14:paraId="0F765B2D" w14:textId="0F165921" w:rsidR="00DE172D" w:rsidRDefault="00000618" w:rsidP="00BA74B6">
      <w:pPr>
        <w:pStyle w:val="ListParagraph"/>
        <w:numPr>
          <w:ilvl w:val="0"/>
          <w:numId w:val="96"/>
        </w:numPr>
        <w:tabs>
          <w:tab w:val="left" w:pos="7470"/>
        </w:tabs>
        <w:rPr>
          <w:rFonts w:cs="Arial"/>
          <w:szCs w:val="24"/>
        </w:rPr>
      </w:pPr>
      <w:r w:rsidRPr="00944E73">
        <w:rPr>
          <w:rFonts w:cs="Arial"/>
          <w:szCs w:val="24"/>
        </w:rPr>
        <w:t>This report deals with setting the Council’s fees and charges for the financial year 202</w:t>
      </w:r>
      <w:r w:rsidR="008100CD">
        <w:rPr>
          <w:rFonts w:cs="Arial"/>
          <w:szCs w:val="24"/>
        </w:rPr>
        <w:t>2</w:t>
      </w:r>
      <w:r w:rsidRPr="00944E73">
        <w:rPr>
          <w:rFonts w:cs="Arial"/>
          <w:szCs w:val="24"/>
        </w:rPr>
        <w:t>/2</w:t>
      </w:r>
      <w:r w:rsidR="008100CD">
        <w:rPr>
          <w:rFonts w:cs="Arial"/>
          <w:szCs w:val="24"/>
        </w:rPr>
        <w:t>3</w:t>
      </w:r>
      <w:r w:rsidRPr="00944E73">
        <w:rPr>
          <w:rFonts w:cs="Arial"/>
          <w:szCs w:val="24"/>
        </w:rPr>
        <w:t>, from 1</w:t>
      </w:r>
      <w:r w:rsidRPr="00944E73">
        <w:rPr>
          <w:rFonts w:cs="Arial"/>
          <w:szCs w:val="24"/>
          <w:vertAlign w:val="superscript"/>
        </w:rPr>
        <w:t>st</w:t>
      </w:r>
      <w:r w:rsidRPr="00944E73">
        <w:rPr>
          <w:rFonts w:cs="Arial"/>
          <w:szCs w:val="24"/>
        </w:rPr>
        <w:t xml:space="preserve"> April 202</w:t>
      </w:r>
      <w:r w:rsidR="008100CD">
        <w:rPr>
          <w:rFonts w:cs="Arial"/>
          <w:szCs w:val="24"/>
        </w:rPr>
        <w:t>2</w:t>
      </w:r>
      <w:r w:rsidRPr="00944E73">
        <w:rPr>
          <w:rFonts w:cs="Arial"/>
          <w:szCs w:val="24"/>
        </w:rPr>
        <w:t>.  The Council’s priorities are set out below</w:t>
      </w:r>
      <w:r w:rsidR="004930BA" w:rsidRPr="00944E73">
        <w:rPr>
          <w:rFonts w:cs="Arial"/>
          <w:szCs w:val="24"/>
        </w:rPr>
        <w:t>:</w:t>
      </w:r>
    </w:p>
    <w:p w14:paraId="4A948EAF" w14:textId="77777777" w:rsidR="00DE172D" w:rsidRDefault="00DE172D" w:rsidP="00DE172D">
      <w:pPr>
        <w:tabs>
          <w:tab w:val="left" w:pos="7470"/>
        </w:tabs>
        <w:rPr>
          <w:rFonts w:cs="Arial"/>
          <w:szCs w:val="24"/>
        </w:rPr>
      </w:pPr>
    </w:p>
    <w:p w14:paraId="4032B866" w14:textId="77777777" w:rsidR="00DE172D" w:rsidRPr="00EB6498" w:rsidRDefault="00DE172D" w:rsidP="00EB6498">
      <w:pPr>
        <w:numPr>
          <w:ilvl w:val="0"/>
          <w:numId w:val="100"/>
        </w:numPr>
        <w:tabs>
          <w:tab w:val="left" w:pos="7470"/>
        </w:tabs>
        <w:ind w:hanging="294"/>
        <w:rPr>
          <w:rFonts w:cs="Arial"/>
          <w:bCs/>
          <w:szCs w:val="24"/>
        </w:rPr>
      </w:pPr>
      <w:r w:rsidRPr="00EB6498">
        <w:rPr>
          <w:rFonts w:cs="Arial"/>
          <w:bCs/>
          <w:szCs w:val="24"/>
        </w:rPr>
        <w:t>Improving the environment and addressing climate change</w:t>
      </w:r>
    </w:p>
    <w:p w14:paraId="74D8FF50" w14:textId="77777777" w:rsidR="00DE172D" w:rsidRPr="00EB6498" w:rsidRDefault="00DE172D" w:rsidP="00EB6498">
      <w:pPr>
        <w:numPr>
          <w:ilvl w:val="0"/>
          <w:numId w:val="100"/>
        </w:numPr>
        <w:tabs>
          <w:tab w:val="left" w:pos="7470"/>
        </w:tabs>
        <w:ind w:hanging="294"/>
        <w:rPr>
          <w:rFonts w:cs="Arial"/>
          <w:bCs/>
          <w:szCs w:val="24"/>
        </w:rPr>
      </w:pPr>
      <w:r w:rsidRPr="00EB6498">
        <w:rPr>
          <w:rFonts w:cs="Arial"/>
          <w:bCs/>
          <w:szCs w:val="24"/>
        </w:rPr>
        <w:t>Tackling poverty and inequality</w:t>
      </w:r>
    </w:p>
    <w:p w14:paraId="43C78D3C" w14:textId="77777777" w:rsidR="00DE172D" w:rsidRPr="00EB6498" w:rsidRDefault="00DE172D" w:rsidP="00EB6498">
      <w:pPr>
        <w:numPr>
          <w:ilvl w:val="0"/>
          <w:numId w:val="100"/>
        </w:numPr>
        <w:tabs>
          <w:tab w:val="left" w:pos="7470"/>
        </w:tabs>
        <w:ind w:hanging="294"/>
        <w:rPr>
          <w:rFonts w:cs="Arial"/>
          <w:bCs/>
          <w:szCs w:val="24"/>
        </w:rPr>
      </w:pPr>
      <w:r w:rsidRPr="00EB6498">
        <w:rPr>
          <w:rFonts w:cs="Arial"/>
          <w:bCs/>
          <w:szCs w:val="24"/>
        </w:rPr>
        <w:t>Building homes and infrastructure</w:t>
      </w:r>
    </w:p>
    <w:p w14:paraId="5982034C" w14:textId="77777777" w:rsidR="00DE172D" w:rsidRPr="00EB6498" w:rsidRDefault="00DE172D" w:rsidP="00EB6498">
      <w:pPr>
        <w:numPr>
          <w:ilvl w:val="0"/>
          <w:numId w:val="100"/>
        </w:numPr>
        <w:tabs>
          <w:tab w:val="left" w:pos="7470"/>
        </w:tabs>
        <w:ind w:hanging="294"/>
        <w:rPr>
          <w:rFonts w:cs="Arial"/>
          <w:bCs/>
          <w:szCs w:val="24"/>
        </w:rPr>
      </w:pPr>
      <w:r w:rsidRPr="00EB6498">
        <w:rPr>
          <w:rFonts w:cs="Arial"/>
          <w:bCs/>
          <w:szCs w:val="24"/>
        </w:rPr>
        <w:t>Addressing health and social care inequality</w:t>
      </w:r>
    </w:p>
    <w:p w14:paraId="6BC565E8" w14:textId="77777777" w:rsidR="00DE172D" w:rsidRPr="00EB6498" w:rsidRDefault="00DE172D" w:rsidP="00EB6498">
      <w:pPr>
        <w:numPr>
          <w:ilvl w:val="0"/>
          <w:numId w:val="100"/>
        </w:numPr>
        <w:tabs>
          <w:tab w:val="left" w:pos="7470"/>
        </w:tabs>
        <w:ind w:hanging="294"/>
        <w:rPr>
          <w:rFonts w:cs="Arial"/>
          <w:bCs/>
          <w:szCs w:val="24"/>
        </w:rPr>
      </w:pPr>
      <w:r w:rsidRPr="00EB6498">
        <w:rPr>
          <w:rFonts w:cs="Arial"/>
          <w:bCs/>
          <w:szCs w:val="24"/>
        </w:rPr>
        <w:t>Thriving economy</w:t>
      </w:r>
    </w:p>
    <w:p w14:paraId="0EE35352" w14:textId="77777777" w:rsidR="00000618" w:rsidRDefault="00000618" w:rsidP="00EB6498">
      <w:pPr>
        <w:tabs>
          <w:tab w:val="left" w:pos="7470"/>
        </w:tabs>
        <w:ind w:firstLine="284"/>
        <w:rPr>
          <w:rFonts w:cs="Arial"/>
          <w:b/>
          <w:szCs w:val="24"/>
        </w:rPr>
      </w:pPr>
      <w:r w:rsidRPr="00EB6498">
        <w:rPr>
          <w:rFonts w:cs="Arial"/>
          <w:szCs w:val="24"/>
        </w:rPr>
        <w:tab/>
      </w:r>
    </w:p>
    <w:p w14:paraId="1A4298F7" w14:textId="77777777" w:rsidR="004E0A80" w:rsidRDefault="004930BA" w:rsidP="00BA74B6">
      <w:pPr>
        <w:pStyle w:val="ListParagraph"/>
        <w:numPr>
          <w:ilvl w:val="0"/>
          <w:numId w:val="96"/>
        </w:numPr>
        <w:jc w:val="both"/>
      </w:pPr>
      <w:r w:rsidRPr="00F32A3B">
        <w:rPr>
          <w:rFonts w:cs="Arial"/>
          <w:szCs w:val="24"/>
        </w:rPr>
        <w:t xml:space="preserve">Income </w:t>
      </w:r>
      <w:r>
        <w:t>raised helps provide the financial resources to cover costs and develop services, while the way the charges are set impacts on the users of services, particularly vulnerable people and families. The concessions available are an important element of the overall charging regime.</w:t>
      </w:r>
      <w:r w:rsidR="004E0A80">
        <w:t xml:space="preserve"> </w:t>
      </w:r>
    </w:p>
    <w:p w14:paraId="545A3DD4" w14:textId="2B0A26B1" w:rsidR="00204FF7" w:rsidRDefault="00204FF7" w:rsidP="00204FF7">
      <w:pPr>
        <w:jc w:val="both"/>
      </w:pPr>
    </w:p>
    <w:p w14:paraId="6059B7C7" w14:textId="77777777" w:rsidR="00530FE6" w:rsidRPr="00EB25BD" w:rsidRDefault="00530FE6" w:rsidP="00530FE6">
      <w:pPr>
        <w:spacing w:before="480" w:after="240"/>
        <w:outlineLvl w:val="1"/>
        <w:rPr>
          <w:rFonts w:ascii="Arial Black" w:hAnsi="Arial Black" w:cs="Arial"/>
          <w:b/>
          <w:bCs/>
          <w:sz w:val="32"/>
          <w:szCs w:val="36"/>
        </w:rPr>
      </w:pPr>
      <w:r w:rsidRPr="00EB25BD">
        <w:rPr>
          <w:rFonts w:ascii="Arial Black" w:hAnsi="Arial Black" w:cs="Arial"/>
          <w:b/>
          <w:bCs/>
          <w:sz w:val="32"/>
          <w:szCs w:val="36"/>
        </w:rPr>
        <w:t>Section 3 - Statutory Officer Clearance</w:t>
      </w:r>
    </w:p>
    <w:p w14:paraId="6CEC2D0D" w14:textId="77777777" w:rsidR="00530FE6" w:rsidRPr="00530FE6" w:rsidRDefault="00530FE6" w:rsidP="00530FE6">
      <w:pPr>
        <w:rPr>
          <w:sz w:val="28"/>
        </w:rPr>
      </w:pPr>
      <w:r w:rsidRPr="00530FE6">
        <w:rPr>
          <w:b/>
          <w:sz w:val="28"/>
        </w:rPr>
        <w:t>Statutory Officer:  Dawn Calvert</w:t>
      </w:r>
    </w:p>
    <w:p w14:paraId="3B892ACF" w14:textId="77777777" w:rsidR="00530FE6" w:rsidRPr="00530FE6" w:rsidRDefault="00530FE6" w:rsidP="00530FE6">
      <w:r w:rsidRPr="00530FE6">
        <w:t>Signed by the Chief Financial Officer</w:t>
      </w:r>
    </w:p>
    <w:p w14:paraId="183C0E02" w14:textId="26719E25" w:rsidR="00530FE6" w:rsidRPr="00530FE6" w:rsidRDefault="00530FE6" w:rsidP="00530FE6">
      <w:pPr>
        <w:spacing w:after="480"/>
        <w:rPr>
          <w:sz w:val="28"/>
        </w:rPr>
      </w:pPr>
      <w:r w:rsidRPr="00530FE6">
        <w:rPr>
          <w:b/>
          <w:sz w:val="28"/>
        </w:rPr>
        <w:t xml:space="preserve">Date:  </w:t>
      </w:r>
      <w:r w:rsidR="007606F6">
        <w:rPr>
          <w:b/>
          <w:sz w:val="28"/>
        </w:rPr>
        <w:t>11 January 2022</w:t>
      </w:r>
    </w:p>
    <w:p w14:paraId="52F22F27" w14:textId="4EF5FC03" w:rsidR="00530FE6" w:rsidRPr="00530FE6" w:rsidRDefault="00530FE6" w:rsidP="00530FE6">
      <w:pPr>
        <w:rPr>
          <w:sz w:val="28"/>
        </w:rPr>
      </w:pPr>
      <w:r w:rsidRPr="00530FE6">
        <w:rPr>
          <w:b/>
          <w:sz w:val="28"/>
        </w:rPr>
        <w:t xml:space="preserve">Statutory Officer:  </w:t>
      </w:r>
      <w:r w:rsidR="007606F6">
        <w:rPr>
          <w:b/>
          <w:sz w:val="28"/>
        </w:rPr>
        <w:t>Paresh Mehta</w:t>
      </w:r>
    </w:p>
    <w:p w14:paraId="3007CF80" w14:textId="77777777" w:rsidR="00530FE6" w:rsidRPr="00530FE6" w:rsidRDefault="00530FE6" w:rsidP="00530FE6">
      <w:r w:rsidRPr="00530FE6">
        <w:t>Signed on behalf of the Monitoring Officer</w:t>
      </w:r>
    </w:p>
    <w:p w14:paraId="36B01D4B" w14:textId="6FA57049" w:rsidR="00530FE6" w:rsidRPr="00530FE6" w:rsidRDefault="00530FE6" w:rsidP="00530FE6">
      <w:pPr>
        <w:spacing w:after="480"/>
        <w:rPr>
          <w:sz w:val="28"/>
        </w:rPr>
      </w:pPr>
      <w:r w:rsidRPr="00530FE6">
        <w:rPr>
          <w:b/>
          <w:sz w:val="28"/>
        </w:rPr>
        <w:t>Date</w:t>
      </w:r>
      <w:r>
        <w:rPr>
          <w:b/>
          <w:sz w:val="28"/>
        </w:rPr>
        <w:t>:</w:t>
      </w:r>
      <w:r w:rsidR="007606F6">
        <w:rPr>
          <w:b/>
          <w:sz w:val="28"/>
        </w:rPr>
        <w:t xml:space="preserve"> 11 January 2022</w:t>
      </w:r>
    </w:p>
    <w:p w14:paraId="1D609E24" w14:textId="77777777" w:rsidR="00530FE6" w:rsidRPr="00530FE6" w:rsidRDefault="00530FE6" w:rsidP="00530FE6">
      <w:pPr>
        <w:rPr>
          <w:sz w:val="28"/>
        </w:rPr>
      </w:pPr>
      <w:r w:rsidRPr="00530FE6">
        <w:rPr>
          <w:b/>
          <w:sz w:val="28"/>
        </w:rPr>
        <w:t>Chief Officer:  Charlie Stewart</w:t>
      </w:r>
    </w:p>
    <w:p w14:paraId="1E9F8107" w14:textId="77777777" w:rsidR="00530FE6" w:rsidRPr="00530FE6" w:rsidRDefault="00530FE6" w:rsidP="00530FE6">
      <w:r w:rsidRPr="00530FE6">
        <w:t>Signed by the Corporate Director</w:t>
      </w:r>
    </w:p>
    <w:p w14:paraId="6825BAFD" w14:textId="51545F2A" w:rsidR="00530FE6" w:rsidRPr="00530FE6" w:rsidRDefault="00530FE6" w:rsidP="00530FE6">
      <w:pPr>
        <w:spacing w:after="480"/>
        <w:rPr>
          <w:sz w:val="28"/>
        </w:rPr>
      </w:pPr>
      <w:r w:rsidRPr="00530FE6">
        <w:rPr>
          <w:b/>
          <w:sz w:val="28"/>
        </w:rPr>
        <w:t xml:space="preserve">Date:  </w:t>
      </w:r>
      <w:r w:rsidR="007606F6">
        <w:rPr>
          <w:b/>
          <w:sz w:val="28"/>
        </w:rPr>
        <w:t>12 January 2022</w:t>
      </w:r>
    </w:p>
    <w:p w14:paraId="76E3AAC0" w14:textId="77777777" w:rsidR="00EB25BD" w:rsidRDefault="00EB25BD" w:rsidP="00530FE6">
      <w:pPr>
        <w:rPr>
          <w:b/>
          <w:sz w:val="28"/>
        </w:rPr>
      </w:pPr>
    </w:p>
    <w:p w14:paraId="0A8366C3" w14:textId="4A31E324" w:rsidR="00530FE6" w:rsidRPr="00530FE6" w:rsidRDefault="00530FE6" w:rsidP="00530FE6">
      <w:pPr>
        <w:rPr>
          <w:sz w:val="28"/>
        </w:rPr>
      </w:pPr>
      <w:r w:rsidRPr="00530FE6">
        <w:rPr>
          <w:b/>
          <w:sz w:val="28"/>
        </w:rPr>
        <w:lastRenderedPageBreak/>
        <w:t>Head of Procurement:  Nimesh Mehta</w:t>
      </w:r>
    </w:p>
    <w:p w14:paraId="6E09FB10" w14:textId="77777777" w:rsidR="00530FE6" w:rsidRPr="00530FE6" w:rsidRDefault="00530FE6" w:rsidP="00530FE6">
      <w:r w:rsidRPr="00530FE6">
        <w:t>Signed by the Head of Procurement</w:t>
      </w:r>
    </w:p>
    <w:p w14:paraId="0FF185CF" w14:textId="202884DB" w:rsidR="00530FE6" w:rsidRPr="00530FE6" w:rsidRDefault="00530FE6" w:rsidP="00530FE6">
      <w:pPr>
        <w:spacing w:after="480"/>
        <w:rPr>
          <w:sz w:val="28"/>
        </w:rPr>
      </w:pPr>
      <w:r w:rsidRPr="00530FE6">
        <w:rPr>
          <w:b/>
          <w:sz w:val="28"/>
        </w:rPr>
        <w:t xml:space="preserve">Date:  </w:t>
      </w:r>
      <w:r w:rsidR="007606F6">
        <w:rPr>
          <w:b/>
          <w:sz w:val="28"/>
        </w:rPr>
        <w:t>12 January 2022</w:t>
      </w:r>
    </w:p>
    <w:p w14:paraId="3FA70661" w14:textId="77777777" w:rsidR="00530FE6" w:rsidRPr="00530FE6" w:rsidRDefault="00530FE6" w:rsidP="00530FE6">
      <w:pPr>
        <w:rPr>
          <w:sz w:val="28"/>
        </w:rPr>
      </w:pPr>
      <w:r w:rsidRPr="00530FE6">
        <w:rPr>
          <w:b/>
          <w:sz w:val="28"/>
        </w:rPr>
        <w:t>Head of Internal Audit:  Susan Dixson</w:t>
      </w:r>
    </w:p>
    <w:p w14:paraId="05AC8937" w14:textId="77777777" w:rsidR="00530FE6" w:rsidRPr="00530FE6" w:rsidRDefault="00530FE6" w:rsidP="00530FE6">
      <w:r w:rsidRPr="00530FE6">
        <w:t>Signed by the Head of Internal Audit</w:t>
      </w:r>
    </w:p>
    <w:p w14:paraId="4718AB84" w14:textId="3CFDEBE3" w:rsidR="00530FE6" w:rsidRPr="00530FE6" w:rsidRDefault="00530FE6" w:rsidP="00530FE6">
      <w:pPr>
        <w:spacing w:after="480"/>
        <w:rPr>
          <w:b/>
          <w:bCs/>
          <w:sz w:val="28"/>
        </w:rPr>
      </w:pPr>
      <w:r w:rsidRPr="00530FE6">
        <w:rPr>
          <w:b/>
          <w:bCs/>
          <w:sz w:val="28"/>
        </w:rPr>
        <w:t xml:space="preserve">Date: </w:t>
      </w:r>
      <w:r w:rsidR="007606F6">
        <w:rPr>
          <w:b/>
          <w:bCs/>
          <w:sz w:val="28"/>
        </w:rPr>
        <w:t>1</w:t>
      </w:r>
      <w:r w:rsidR="00654972">
        <w:rPr>
          <w:b/>
          <w:bCs/>
          <w:sz w:val="28"/>
        </w:rPr>
        <w:t>3</w:t>
      </w:r>
      <w:r w:rsidR="007606F6">
        <w:rPr>
          <w:b/>
          <w:bCs/>
          <w:sz w:val="28"/>
        </w:rPr>
        <w:t xml:space="preserve"> January 2022</w:t>
      </w:r>
    </w:p>
    <w:p w14:paraId="6B5EE800" w14:textId="77777777" w:rsidR="00530FE6" w:rsidRPr="00DF28AA" w:rsidRDefault="00530FE6" w:rsidP="00530FE6">
      <w:pPr>
        <w:rPr>
          <w:rFonts w:cs="Arial"/>
          <w:b/>
          <w:bCs/>
          <w:sz w:val="28"/>
          <w:szCs w:val="32"/>
        </w:rPr>
      </w:pPr>
      <w:r w:rsidRPr="00DF28AA">
        <w:rPr>
          <w:rFonts w:cs="Arial"/>
          <w:b/>
          <w:bCs/>
          <w:sz w:val="28"/>
          <w:szCs w:val="32"/>
        </w:rPr>
        <w:t>Mandatory Checks</w:t>
      </w:r>
    </w:p>
    <w:p w14:paraId="32F72BA8" w14:textId="10883C0D" w:rsidR="00530FE6" w:rsidRDefault="00530FE6" w:rsidP="00530FE6"/>
    <w:p w14:paraId="6FCC5A82" w14:textId="4395E418" w:rsidR="00EB25BD" w:rsidRPr="00A406F3" w:rsidRDefault="00EB25BD" w:rsidP="00EB25BD">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0FD21799" w14:textId="387B9D11" w:rsidR="00EB25BD" w:rsidRPr="00202D79" w:rsidRDefault="00EB25BD" w:rsidP="00EB25BD">
      <w:pPr>
        <w:pStyle w:val="Heading3"/>
        <w:spacing w:before="240"/>
        <w:rPr>
          <w:b w:val="0"/>
        </w:rPr>
      </w:pPr>
      <w:r w:rsidRPr="00202D79">
        <w:t>EqIA carried out:</w:t>
      </w:r>
      <w:r>
        <w:t xml:space="preserve">  </w:t>
      </w:r>
      <w:r w:rsidRPr="00202D79">
        <w:t>NO</w:t>
      </w:r>
    </w:p>
    <w:p w14:paraId="4457F63A" w14:textId="45D921AD" w:rsidR="00EB25BD" w:rsidRPr="00303FD6" w:rsidRDefault="00EB25BD" w:rsidP="00EB25BD">
      <w:pPr>
        <w:pStyle w:val="Heading3"/>
        <w:spacing w:before="240"/>
        <w:jc w:val="left"/>
        <w:rPr>
          <w:color w:val="FF0000"/>
        </w:rPr>
      </w:pPr>
      <w:r w:rsidRPr="00202D79">
        <w:t>EqIA cleared by:</w:t>
      </w:r>
      <w:r>
        <w:t xml:space="preserve">  N/A</w:t>
      </w:r>
    </w:p>
    <w:p w14:paraId="5574757F" w14:textId="77777777" w:rsidR="00EB25BD" w:rsidRDefault="00EB25BD" w:rsidP="00530FE6"/>
    <w:p w14:paraId="3F7B302A" w14:textId="77777777" w:rsidR="00530FE6" w:rsidRDefault="00530FE6" w:rsidP="00204FF7">
      <w:pPr>
        <w:jc w:val="both"/>
      </w:pPr>
    </w:p>
    <w:p w14:paraId="0A9A158B" w14:textId="77777777" w:rsidR="00530FE6" w:rsidRPr="00EB25BD" w:rsidRDefault="00530FE6" w:rsidP="00530FE6">
      <w:pPr>
        <w:pStyle w:val="Heading1"/>
        <w:keepNext/>
      </w:pPr>
      <w:r w:rsidRPr="00EB25BD">
        <w:t>Section 4 - Contact Details and Background Papers</w:t>
      </w:r>
    </w:p>
    <w:p w14:paraId="54392B85" w14:textId="77777777" w:rsidR="00530FE6" w:rsidRDefault="00530FE6" w:rsidP="00530FE6">
      <w:pPr>
        <w:keepNext/>
        <w:rPr>
          <w:rFonts w:cs="Arial"/>
        </w:rPr>
      </w:pPr>
    </w:p>
    <w:p w14:paraId="3E169DA9" w14:textId="761202C1" w:rsidR="00530FE6" w:rsidRPr="00D47AA9" w:rsidRDefault="00530FE6" w:rsidP="00530FE6">
      <w:pPr>
        <w:pStyle w:val="Infotext"/>
        <w:rPr>
          <w:sz w:val="24"/>
          <w:szCs w:val="24"/>
        </w:rPr>
      </w:pPr>
      <w:r w:rsidRPr="00D47AA9">
        <w:rPr>
          <w:b/>
          <w:sz w:val="24"/>
          <w:szCs w:val="24"/>
        </w:rPr>
        <w:t xml:space="preserve">Contact:  </w:t>
      </w:r>
      <w:r w:rsidRPr="00EB25BD">
        <w:rPr>
          <w:bCs/>
          <w:sz w:val="24"/>
          <w:szCs w:val="24"/>
        </w:rPr>
        <w:t>Sharon Daniels,</w:t>
      </w:r>
      <w:r w:rsidRPr="00D47AA9">
        <w:rPr>
          <w:sz w:val="24"/>
          <w:szCs w:val="24"/>
        </w:rPr>
        <w:t xml:space="preserve"> Head of Strategic and Technical Finance (Deputy S151)</w:t>
      </w:r>
      <w:r w:rsidR="00EB25BD">
        <w:rPr>
          <w:sz w:val="24"/>
          <w:szCs w:val="24"/>
        </w:rPr>
        <w:t xml:space="preserve">, </w:t>
      </w:r>
      <w:r w:rsidRPr="00D47AA9">
        <w:rPr>
          <w:sz w:val="24"/>
          <w:szCs w:val="24"/>
        </w:rPr>
        <w:t xml:space="preserve">Email: </w:t>
      </w:r>
      <w:hyperlink r:id="rId10" w:history="1">
        <w:r w:rsidRPr="00D47AA9">
          <w:rPr>
            <w:rStyle w:val="Hyperlink"/>
            <w:sz w:val="24"/>
            <w:szCs w:val="24"/>
          </w:rPr>
          <w:t>sharon.daniels@harrow.gov.uk</w:t>
        </w:r>
      </w:hyperlink>
    </w:p>
    <w:p w14:paraId="04AB375D" w14:textId="77777777" w:rsidR="00530FE6" w:rsidRDefault="00530FE6" w:rsidP="00530FE6"/>
    <w:p w14:paraId="0030A259" w14:textId="59612088" w:rsidR="00530FE6" w:rsidRDefault="00530FE6" w:rsidP="00530FE6">
      <w:pPr>
        <w:pStyle w:val="Infotext"/>
        <w:rPr>
          <w:b/>
        </w:rPr>
      </w:pPr>
      <w:r w:rsidRPr="004E47FC">
        <w:rPr>
          <w:b/>
        </w:rPr>
        <w:t>Background Papers</w:t>
      </w:r>
      <w:r>
        <w:rPr>
          <w:b/>
        </w:rPr>
        <w:t xml:space="preserve">: </w:t>
      </w:r>
      <w:r w:rsidR="00EB25BD" w:rsidRPr="00EB25BD">
        <w:rPr>
          <w:bCs/>
        </w:rPr>
        <w:t>None</w:t>
      </w:r>
    </w:p>
    <w:p w14:paraId="1C4A15C0" w14:textId="77777777" w:rsidR="00EB25BD" w:rsidRPr="007C0DC3" w:rsidRDefault="00EB25BD" w:rsidP="00EB25BD">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6672B12E" w14:textId="27A747BB" w:rsidR="00530FE6" w:rsidRPr="00754FC7" w:rsidRDefault="00EB25BD" w:rsidP="00EB25BD">
      <w:pPr>
        <w:pStyle w:val="Infotext"/>
        <w:spacing w:before="240"/>
        <w:rPr>
          <w:b/>
        </w:rPr>
      </w:pPr>
      <w:r w:rsidRPr="003D78F6">
        <w:rPr>
          <w:b/>
        </w:rPr>
        <w:t xml:space="preserve">NO </w:t>
      </w:r>
    </w:p>
    <w:p w14:paraId="59041E22" w14:textId="77777777" w:rsidR="00530FE6" w:rsidRPr="00754FC7" w:rsidRDefault="00530FE6" w:rsidP="00530FE6">
      <w:pPr>
        <w:pStyle w:val="Infotext"/>
        <w:rPr>
          <w:b/>
        </w:rPr>
      </w:pPr>
    </w:p>
    <w:p w14:paraId="2F7D88D0" w14:textId="77777777" w:rsidR="00221566" w:rsidRDefault="00221566"/>
    <w:p w14:paraId="1C2B9326" w14:textId="77777777" w:rsidR="0079180C" w:rsidRPr="00734C10" w:rsidRDefault="0079180C">
      <w:pPr>
        <w:pStyle w:val="Infotext"/>
      </w:pPr>
    </w:p>
    <w:p w14:paraId="4EB8D319" w14:textId="77777777" w:rsidR="0079180C" w:rsidRPr="00734C10" w:rsidRDefault="0079180C">
      <w:pPr>
        <w:pStyle w:val="Infotext"/>
        <w:rPr>
          <w:rFonts w:cs="Arial"/>
          <w:sz w:val="24"/>
        </w:rPr>
      </w:pPr>
    </w:p>
    <w:p w14:paraId="23874C10" w14:textId="77777777" w:rsidR="005432A6" w:rsidRPr="00734C10" w:rsidRDefault="005432A6">
      <w:pPr>
        <w:pStyle w:val="Infotext"/>
      </w:pPr>
    </w:p>
    <w:sectPr w:rsidR="005432A6" w:rsidRPr="00734C10" w:rsidSect="00664F76">
      <w:type w:val="continuous"/>
      <w:pgSz w:w="11909" w:h="16834" w:code="9"/>
      <w:pgMar w:top="864" w:right="1800" w:bottom="851"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893A" w14:textId="77777777" w:rsidR="00687811" w:rsidRDefault="00687811">
      <w:r>
        <w:separator/>
      </w:r>
    </w:p>
  </w:endnote>
  <w:endnote w:type="continuationSeparator" w:id="0">
    <w:p w14:paraId="2AC8CACC" w14:textId="77777777" w:rsidR="00687811" w:rsidRDefault="0068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BF6C" w14:textId="757E2784" w:rsidR="00EA2EC4" w:rsidRPr="00883F59" w:rsidRDefault="00EA2EC4" w:rsidP="00883F5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5BAD" w14:textId="77777777" w:rsidR="00687811" w:rsidRDefault="00687811">
      <w:r>
        <w:separator/>
      </w:r>
    </w:p>
  </w:footnote>
  <w:footnote w:type="continuationSeparator" w:id="0">
    <w:p w14:paraId="72556F81" w14:textId="77777777" w:rsidR="00687811" w:rsidRDefault="0068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301" w:hanging="301"/>
      </w:pPr>
      <w:rPr>
        <w:rFonts w:ascii="Symbol" w:hAnsi="Symbol"/>
        <w:color w:val="0A1B5F"/>
        <w:sz w:val="24"/>
        <w:szCs w:val="24"/>
      </w:rPr>
    </w:lvl>
    <w:lvl w:ilvl="1">
      <w:start w:val="1"/>
      <w:numFmt w:val="bullet"/>
      <w:lvlText w:val="–"/>
      <w:lvlJc w:val="left"/>
      <w:pPr>
        <w:tabs>
          <w:tab w:val="num" w:pos="0"/>
        </w:tabs>
        <w:ind w:left="601" w:hanging="300"/>
      </w:pPr>
      <w:rPr>
        <w:rFonts w:ascii="Arial" w:hAnsi="Arial"/>
        <w:color w:val="0A1B5F"/>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0000007"/>
    <w:multiLevelType w:val="multilevel"/>
    <w:tmpl w:val="BAE2293E"/>
    <w:name w:val="WW8Num7"/>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0A1B5F"/>
      </w:rPr>
    </w:lvl>
    <w:lvl w:ilvl="2">
      <w:start w:val="1"/>
      <w:numFmt w:val="bullet"/>
      <w:lvlText w:val="▪"/>
      <w:lvlJc w:val="left"/>
      <w:pPr>
        <w:tabs>
          <w:tab w:val="num" w:pos="1440"/>
        </w:tabs>
        <w:ind w:left="1440" w:hanging="360"/>
      </w:pPr>
      <w:rPr>
        <w:rFonts w:ascii="OpenSymbol" w:hAnsi="OpenSymbol"/>
        <w:color w:val="0A1B5F"/>
      </w:rPr>
    </w:lvl>
    <w:lvl w:ilvl="3">
      <w:start w:val="1"/>
      <w:numFmt w:val="bullet"/>
      <w:lvlText w:val=""/>
      <w:lvlJc w:val="left"/>
      <w:pPr>
        <w:tabs>
          <w:tab w:val="num" w:pos="1800"/>
        </w:tabs>
        <w:ind w:left="1800" w:hanging="360"/>
      </w:pPr>
      <w:rPr>
        <w:rFonts w:ascii="Symbol" w:hAnsi="Symbol"/>
        <w:color w:val="0A1B5F"/>
      </w:rPr>
    </w:lvl>
    <w:lvl w:ilvl="4">
      <w:start w:val="1"/>
      <w:numFmt w:val="bullet"/>
      <w:lvlText w:val="◦"/>
      <w:lvlJc w:val="left"/>
      <w:pPr>
        <w:tabs>
          <w:tab w:val="num" w:pos="2160"/>
        </w:tabs>
        <w:ind w:left="2160" w:hanging="360"/>
      </w:pPr>
      <w:rPr>
        <w:rFonts w:ascii="OpenSymbol" w:hAnsi="OpenSymbol"/>
        <w:color w:val="0A1B5F"/>
      </w:rPr>
    </w:lvl>
    <w:lvl w:ilvl="5">
      <w:start w:val="1"/>
      <w:numFmt w:val="bullet"/>
      <w:lvlText w:val="▪"/>
      <w:lvlJc w:val="left"/>
      <w:pPr>
        <w:tabs>
          <w:tab w:val="num" w:pos="2520"/>
        </w:tabs>
        <w:ind w:left="2520" w:hanging="360"/>
      </w:pPr>
      <w:rPr>
        <w:rFonts w:ascii="OpenSymbol" w:hAnsi="OpenSymbol"/>
        <w:color w:val="0A1B5F"/>
      </w:rPr>
    </w:lvl>
    <w:lvl w:ilvl="6">
      <w:start w:val="1"/>
      <w:numFmt w:val="bullet"/>
      <w:lvlText w:val=""/>
      <w:lvlJc w:val="left"/>
      <w:pPr>
        <w:tabs>
          <w:tab w:val="num" w:pos="2880"/>
        </w:tabs>
        <w:ind w:left="2880" w:hanging="360"/>
      </w:pPr>
      <w:rPr>
        <w:rFonts w:ascii="Symbol" w:hAnsi="Symbol"/>
        <w:color w:val="0A1B5F"/>
      </w:rPr>
    </w:lvl>
    <w:lvl w:ilvl="7">
      <w:start w:val="1"/>
      <w:numFmt w:val="bullet"/>
      <w:lvlText w:val="◦"/>
      <w:lvlJc w:val="left"/>
      <w:pPr>
        <w:tabs>
          <w:tab w:val="num" w:pos="3240"/>
        </w:tabs>
        <w:ind w:left="3240" w:hanging="360"/>
      </w:pPr>
      <w:rPr>
        <w:rFonts w:ascii="OpenSymbol" w:hAnsi="OpenSymbol"/>
        <w:color w:val="0A1B5F"/>
      </w:rPr>
    </w:lvl>
    <w:lvl w:ilvl="8">
      <w:start w:val="1"/>
      <w:numFmt w:val="bullet"/>
      <w:lvlText w:val="▪"/>
      <w:lvlJc w:val="left"/>
      <w:pPr>
        <w:tabs>
          <w:tab w:val="num" w:pos="3600"/>
        </w:tabs>
        <w:ind w:left="3600" w:hanging="360"/>
      </w:pPr>
      <w:rPr>
        <w:rFonts w:ascii="OpenSymbol" w:hAnsi="OpenSymbol"/>
        <w:color w:val="0A1B5F"/>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6" w15:restartNumberingAfterBreak="0">
    <w:nsid w:val="0000000B"/>
    <w:multiLevelType w:val="multilevel"/>
    <w:tmpl w:val="C9B60028"/>
    <w:name w:val="WW8Num11"/>
    <w:lvl w:ilvl="0">
      <w:start w:val="5"/>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8"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9"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0"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2" w15:restartNumberingAfterBreak="0">
    <w:nsid w:val="05E438AA"/>
    <w:multiLevelType w:val="hybridMultilevel"/>
    <w:tmpl w:val="391A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BB685E"/>
    <w:multiLevelType w:val="hybridMultilevel"/>
    <w:tmpl w:val="61347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1777C5"/>
    <w:multiLevelType w:val="multilevel"/>
    <w:tmpl w:val="287C7F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74"/>
        </w:tabs>
        <w:ind w:left="674"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D276D4"/>
    <w:multiLevelType w:val="hybridMultilevel"/>
    <w:tmpl w:val="DAB4E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D023F59"/>
    <w:multiLevelType w:val="multilevel"/>
    <w:tmpl w:val="FE525356"/>
    <w:lvl w:ilvl="0">
      <w:start w:val="6"/>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E92338A"/>
    <w:multiLevelType w:val="hybridMultilevel"/>
    <w:tmpl w:val="6D886BF4"/>
    <w:lvl w:ilvl="0" w:tplc="08090011">
      <w:start w:val="4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8C2694"/>
    <w:multiLevelType w:val="hybridMultilevel"/>
    <w:tmpl w:val="84C873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0FBC53AB"/>
    <w:multiLevelType w:val="hybridMultilevel"/>
    <w:tmpl w:val="B790C10C"/>
    <w:lvl w:ilvl="0" w:tplc="9D8EC22A">
      <w:start w:val="15"/>
      <w:numFmt w:val="decimal"/>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D80DA0"/>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21" w15:restartNumberingAfterBreak="0">
    <w:nsid w:val="12E45B60"/>
    <w:multiLevelType w:val="hybridMultilevel"/>
    <w:tmpl w:val="521E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3BC3504"/>
    <w:multiLevelType w:val="hybridMultilevel"/>
    <w:tmpl w:val="4410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F436B4"/>
    <w:multiLevelType w:val="hybridMultilevel"/>
    <w:tmpl w:val="0E6C81D4"/>
    <w:lvl w:ilvl="0" w:tplc="08090001">
      <w:start w:val="1"/>
      <w:numFmt w:val="bullet"/>
      <w:lvlText w:val=""/>
      <w:lvlJc w:val="left"/>
      <w:pPr>
        <w:tabs>
          <w:tab w:val="num" w:pos="825"/>
        </w:tabs>
        <w:ind w:left="825" w:hanging="360"/>
      </w:pPr>
      <w:rPr>
        <w:rFonts w:ascii="Symbol" w:hAnsi="Symbol" w:hint="default"/>
      </w:rPr>
    </w:lvl>
    <w:lvl w:ilvl="1" w:tplc="08090003">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25" w15:restartNumberingAfterBreak="0">
    <w:nsid w:val="14C328BB"/>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26" w15:restartNumberingAfterBreak="0">
    <w:nsid w:val="17072B10"/>
    <w:multiLevelType w:val="multilevel"/>
    <w:tmpl w:val="99E20AE2"/>
    <w:lvl w:ilvl="0">
      <w:start w:val="6"/>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7652780"/>
    <w:multiLevelType w:val="hybridMultilevel"/>
    <w:tmpl w:val="315057A0"/>
    <w:lvl w:ilvl="0" w:tplc="8146D15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486725"/>
    <w:multiLevelType w:val="hybridMultilevel"/>
    <w:tmpl w:val="86E69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641FA2"/>
    <w:multiLevelType w:val="hybridMultilevel"/>
    <w:tmpl w:val="7F2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790A73"/>
    <w:multiLevelType w:val="multilevel"/>
    <w:tmpl w:val="00E21FA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1F860C1F"/>
    <w:multiLevelType w:val="hybridMultilevel"/>
    <w:tmpl w:val="595440E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0BA3D06"/>
    <w:multiLevelType w:val="hybridMultilevel"/>
    <w:tmpl w:val="B7502E88"/>
    <w:lvl w:ilvl="0" w:tplc="08090001">
      <w:start w:val="1"/>
      <w:numFmt w:val="bullet"/>
      <w:pStyle w:val="List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10565F9"/>
    <w:multiLevelType w:val="hybridMultilevel"/>
    <w:tmpl w:val="91B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07211B"/>
    <w:multiLevelType w:val="hybridMultilevel"/>
    <w:tmpl w:val="6CA67CD0"/>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236C21C0"/>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36" w15:restartNumberingAfterBreak="0">
    <w:nsid w:val="25F26CBB"/>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37" w15:restartNumberingAfterBreak="0">
    <w:nsid w:val="26A9524B"/>
    <w:multiLevelType w:val="hybridMultilevel"/>
    <w:tmpl w:val="A7BA3E8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38" w15:restartNumberingAfterBreak="0">
    <w:nsid w:val="26E2708E"/>
    <w:multiLevelType w:val="hybridMultilevel"/>
    <w:tmpl w:val="DA8E394E"/>
    <w:lvl w:ilvl="0" w:tplc="2954F41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71E6F53"/>
    <w:multiLevelType w:val="hybridMultilevel"/>
    <w:tmpl w:val="901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D855E4"/>
    <w:multiLevelType w:val="hybridMultilevel"/>
    <w:tmpl w:val="A5FA12CC"/>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F45DB"/>
    <w:multiLevelType w:val="hybridMultilevel"/>
    <w:tmpl w:val="6868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D5D09B9"/>
    <w:multiLevelType w:val="multilevel"/>
    <w:tmpl w:val="D7A212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3" w15:restartNumberingAfterBreak="0">
    <w:nsid w:val="2DD87303"/>
    <w:multiLevelType w:val="hybridMultilevel"/>
    <w:tmpl w:val="FF1C919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2E2C18AC"/>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5" w15:restartNumberingAfterBreak="0">
    <w:nsid w:val="2EB519F3"/>
    <w:multiLevelType w:val="multilevel"/>
    <w:tmpl w:val="15C6B6A8"/>
    <w:lvl w:ilvl="0">
      <w:start w:val="1"/>
      <w:numFmt w:val="decimal"/>
      <w:lvlText w:val="%1)"/>
      <w:lvlJc w:val="left"/>
      <w:pPr>
        <w:tabs>
          <w:tab w:val="num" w:pos="360"/>
        </w:tabs>
        <w:ind w:left="360" w:hanging="360"/>
      </w:pPr>
      <w:rPr>
        <w:rFonts w:hint="default"/>
        <w:b w:val="0"/>
        <w:i w:val="0"/>
        <w:sz w:val="24"/>
        <w:szCs w:val="24"/>
      </w:rPr>
    </w:lvl>
    <w:lvl w:ilvl="1">
      <w:start w:val="1"/>
      <w:numFmt w:val="upperRoman"/>
      <w:lvlText w:val="%2."/>
      <w:lvlJc w:val="righ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6" w15:restartNumberingAfterBreak="0">
    <w:nsid w:val="2FF86FBE"/>
    <w:multiLevelType w:val="hybridMultilevel"/>
    <w:tmpl w:val="211CA910"/>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1B1F7A"/>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8" w15:restartNumberingAfterBreak="0">
    <w:nsid w:val="332D0856"/>
    <w:multiLevelType w:val="hybridMultilevel"/>
    <w:tmpl w:val="0C2685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632CFD"/>
    <w:multiLevelType w:val="hybridMultilevel"/>
    <w:tmpl w:val="2B34B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84B47BC"/>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51" w15:restartNumberingAfterBreak="0">
    <w:nsid w:val="391943BA"/>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52" w15:restartNumberingAfterBreak="0">
    <w:nsid w:val="3A6458A7"/>
    <w:multiLevelType w:val="hybridMultilevel"/>
    <w:tmpl w:val="2DE27DC8"/>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FEF6A46"/>
    <w:multiLevelType w:val="hybridMultilevel"/>
    <w:tmpl w:val="9AFE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803568"/>
    <w:multiLevelType w:val="hybridMultilevel"/>
    <w:tmpl w:val="1CFC3E80"/>
    <w:lvl w:ilvl="0" w:tplc="08090011">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B500B0"/>
    <w:multiLevelType w:val="multilevel"/>
    <w:tmpl w:val="730AC3C0"/>
    <w:lvl w:ilvl="0">
      <w:start w:val="1"/>
      <w:numFmt w:val="decimal"/>
      <w:lvlText w:val="%1)"/>
      <w:lvlJc w:val="left"/>
      <w:pPr>
        <w:tabs>
          <w:tab w:val="num" w:pos="360"/>
        </w:tabs>
        <w:ind w:left="360" w:hanging="360"/>
      </w:pPr>
      <w:rPr>
        <w:rFonts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56" w15:restartNumberingAfterBreak="0">
    <w:nsid w:val="41F64420"/>
    <w:multiLevelType w:val="hybridMultilevel"/>
    <w:tmpl w:val="7B42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9D4CAA"/>
    <w:multiLevelType w:val="multilevel"/>
    <w:tmpl w:val="CEA29A80"/>
    <w:lvl w:ilvl="0">
      <w:start w:val="6"/>
      <w:numFmt w:val="decimal"/>
      <w:lvlText w:val="%1"/>
      <w:lvlJc w:val="left"/>
      <w:pPr>
        <w:tabs>
          <w:tab w:val="num" w:pos="465"/>
        </w:tabs>
        <w:ind w:left="465" w:hanging="46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3886C27"/>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5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4D73F9D"/>
    <w:multiLevelType w:val="hybridMultilevel"/>
    <w:tmpl w:val="5C72ED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6B72562"/>
    <w:multiLevelType w:val="hybridMultilevel"/>
    <w:tmpl w:val="B64C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6F30FD2"/>
    <w:multiLevelType w:val="multilevel"/>
    <w:tmpl w:val="4A34FB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83C7503"/>
    <w:multiLevelType w:val="hybridMultilevel"/>
    <w:tmpl w:val="E3F4C7D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9C67786"/>
    <w:multiLevelType w:val="hybridMultilevel"/>
    <w:tmpl w:val="97D66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A195CBD"/>
    <w:multiLevelType w:val="hybridMultilevel"/>
    <w:tmpl w:val="06183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4D6C6E7F"/>
    <w:multiLevelType w:val="hybridMultilevel"/>
    <w:tmpl w:val="D01C7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E6D62D9"/>
    <w:multiLevelType w:val="multilevel"/>
    <w:tmpl w:val="DBA86A3C"/>
    <w:lvl w:ilvl="0">
      <w:start w:val="6"/>
      <w:numFmt w:val="decimal"/>
      <w:lvlText w:val="%1"/>
      <w:lvlJc w:val="left"/>
      <w:pPr>
        <w:tabs>
          <w:tab w:val="num" w:pos="465"/>
        </w:tabs>
        <w:ind w:left="465" w:hanging="46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3E07BE2"/>
    <w:multiLevelType w:val="multilevel"/>
    <w:tmpl w:val="4B5A3056"/>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26"/>
        </w:tabs>
        <w:ind w:left="1026" w:hanging="46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48127F5"/>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70" w15:restartNumberingAfterBreak="0">
    <w:nsid w:val="549B0181"/>
    <w:multiLevelType w:val="hybridMultilevel"/>
    <w:tmpl w:val="AD9A7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5AE3C99"/>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72" w15:restartNumberingAfterBreak="0">
    <w:nsid w:val="56024D85"/>
    <w:multiLevelType w:val="hybridMultilevel"/>
    <w:tmpl w:val="6F92BB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74C4C0B"/>
    <w:multiLevelType w:val="hybridMultilevel"/>
    <w:tmpl w:val="91D2C7B8"/>
    <w:lvl w:ilvl="0" w:tplc="19FE6A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58771035"/>
    <w:multiLevelType w:val="multilevel"/>
    <w:tmpl w:val="82AA550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A1C373D"/>
    <w:multiLevelType w:val="hybridMultilevel"/>
    <w:tmpl w:val="D0249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5B0C3039"/>
    <w:multiLevelType w:val="hybridMultilevel"/>
    <w:tmpl w:val="4C6656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C5620B3"/>
    <w:multiLevelType w:val="hybridMultilevel"/>
    <w:tmpl w:val="377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D4E4E22"/>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79" w15:restartNumberingAfterBreak="0">
    <w:nsid w:val="5DF07A53"/>
    <w:multiLevelType w:val="multilevel"/>
    <w:tmpl w:val="CAEC3E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EFB0A7A"/>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81" w15:restartNumberingAfterBreak="0">
    <w:nsid w:val="5FA5030A"/>
    <w:multiLevelType w:val="hybridMultilevel"/>
    <w:tmpl w:val="2D9C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1443F2A"/>
    <w:multiLevelType w:val="hybridMultilevel"/>
    <w:tmpl w:val="78C6C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27B5165"/>
    <w:multiLevelType w:val="hybridMultilevel"/>
    <w:tmpl w:val="86DE5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33D607D"/>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85" w15:restartNumberingAfterBreak="0">
    <w:nsid w:val="64AD16EC"/>
    <w:multiLevelType w:val="hybridMultilevel"/>
    <w:tmpl w:val="15248D60"/>
    <w:lvl w:ilvl="0" w:tplc="08090001">
      <w:start w:val="1"/>
      <w:numFmt w:val="bullet"/>
      <w:lvlText w:val=""/>
      <w:lvlJc w:val="left"/>
      <w:pPr>
        <w:ind w:left="1274" w:hanging="360"/>
      </w:pPr>
      <w:rPr>
        <w:rFonts w:ascii="Symbol" w:hAnsi="Symbol" w:hint="default"/>
      </w:rPr>
    </w:lvl>
    <w:lvl w:ilvl="1" w:tplc="08090003">
      <w:start w:val="1"/>
      <w:numFmt w:val="bullet"/>
      <w:lvlText w:val="o"/>
      <w:lvlJc w:val="left"/>
      <w:pPr>
        <w:ind w:left="1994" w:hanging="360"/>
      </w:pPr>
      <w:rPr>
        <w:rFonts w:ascii="Courier New" w:hAnsi="Courier New" w:cs="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cs="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cs="Courier New" w:hint="default"/>
      </w:rPr>
    </w:lvl>
    <w:lvl w:ilvl="8" w:tplc="08090005" w:tentative="1">
      <w:start w:val="1"/>
      <w:numFmt w:val="bullet"/>
      <w:lvlText w:val=""/>
      <w:lvlJc w:val="left"/>
      <w:pPr>
        <w:ind w:left="7034" w:hanging="360"/>
      </w:pPr>
      <w:rPr>
        <w:rFonts w:ascii="Wingdings" w:hAnsi="Wingdings" w:hint="default"/>
      </w:rPr>
    </w:lvl>
  </w:abstractNum>
  <w:abstractNum w:abstractNumId="86" w15:restartNumberingAfterBreak="0">
    <w:nsid w:val="672D6DA2"/>
    <w:multiLevelType w:val="hybridMultilevel"/>
    <w:tmpl w:val="6A06C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69CA3050"/>
    <w:multiLevelType w:val="multilevel"/>
    <w:tmpl w:val="4FA25AFA"/>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AC014AD"/>
    <w:multiLevelType w:val="hybridMultilevel"/>
    <w:tmpl w:val="BBB8FD9C"/>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89" w15:restartNumberingAfterBreak="0">
    <w:nsid w:val="6B567FA3"/>
    <w:multiLevelType w:val="hybridMultilevel"/>
    <w:tmpl w:val="AA1EC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E451B16"/>
    <w:multiLevelType w:val="multilevel"/>
    <w:tmpl w:val="8F683462"/>
    <w:lvl w:ilvl="0">
      <w:start w:val="1"/>
      <w:numFmt w:val="decimal"/>
      <w:lvlText w:val="%1."/>
      <w:lvlJc w:val="left"/>
      <w:pPr>
        <w:tabs>
          <w:tab w:val="num" w:pos="360"/>
        </w:tabs>
        <w:ind w:left="360" w:hanging="360"/>
      </w:pPr>
      <w:rPr>
        <w:rFonts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91" w15:restartNumberingAfterBreak="0">
    <w:nsid w:val="6EBA3665"/>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92" w15:restartNumberingAfterBreak="0">
    <w:nsid w:val="6F781983"/>
    <w:multiLevelType w:val="hybridMultilevel"/>
    <w:tmpl w:val="DB60A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FE9014E"/>
    <w:multiLevelType w:val="hybridMultilevel"/>
    <w:tmpl w:val="527CC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5AC2BC4"/>
    <w:multiLevelType w:val="hybridMultilevel"/>
    <w:tmpl w:val="614E40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5" w15:restartNumberingAfterBreak="0">
    <w:nsid w:val="76637AB1"/>
    <w:multiLevelType w:val="hybridMultilevel"/>
    <w:tmpl w:val="09ECF3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7CE73AC"/>
    <w:multiLevelType w:val="multilevel"/>
    <w:tmpl w:val="6024CC24"/>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97" w15:restartNumberingAfterBreak="0">
    <w:nsid w:val="78B504F5"/>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98" w15:restartNumberingAfterBreak="0">
    <w:nsid w:val="7A4A4279"/>
    <w:multiLevelType w:val="hybridMultilevel"/>
    <w:tmpl w:val="AA88AB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7CA46FB0"/>
    <w:multiLevelType w:val="hybridMultilevel"/>
    <w:tmpl w:val="519C48A6"/>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7EE57933"/>
    <w:multiLevelType w:val="hybridMultilevel"/>
    <w:tmpl w:val="F51AA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FA836C6"/>
    <w:multiLevelType w:val="hybridMultilevel"/>
    <w:tmpl w:val="0EA06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7FC75BD1"/>
    <w:multiLevelType w:val="hybridMultilevel"/>
    <w:tmpl w:val="71E6E40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79"/>
  </w:num>
  <w:num w:numId="3">
    <w:abstractNumId w:val="14"/>
  </w:num>
  <w:num w:numId="4">
    <w:abstractNumId w:val="62"/>
  </w:num>
  <w:num w:numId="5">
    <w:abstractNumId w:val="74"/>
  </w:num>
  <w:num w:numId="6">
    <w:abstractNumId w:val="68"/>
  </w:num>
  <w:num w:numId="7">
    <w:abstractNumId w:val="0"/>
  </w:num>
  <w:num w:numId="8">
    <w:abstractNumId w:val="24"/>
  </w:num>
  <w:num w:numId="9">
    <w:abstractNumId w:val="88"/>
  </w:num>
  <w:num w:numId="10">
    <w:abstractNumId w:val="57"/>
  </w:num>
  <w:num w:numId="11">
    <w:abstractNumId w:val="67"/>
  </w:num>
  <w:num w:numId="12">
    <w:abstractNumId w:val="42"/>
  </w:num>
  <w:num w:numId="13">
    <w:abstractNumId w:val="16"/>
  </w:num>
  <w:num w:numId="14">
    <w:abstractNumId w:val="87"/>
  </w:num>
  <w:num w:numId="15">
    <w:abstractNumId w:val="8"/>
  </w:num>
  <w:num w:numId="16">
    <w:abstractNumId w:val="9"/>
  </w:num>
  <w:num w:numId="17">
    <w:abstractNumId w:val="10"/>
  </w:num>
  <w:num w:numId="18">
    <w:abstractNumId w:val="11"/>
  </w:num>
  <w:num w:numId="19">
    <w:abstractNumId w:val="4"/>
  </w:num>
  <w:num w:numId="20">
    <w:abstractNumId w:val="19"/>
  </w:num>
  <w:num w:numId="21">
    <w:abstractNumId w:val="100"/>
  </w:num>
  <w:num w:numId="22">
    <w:abstractNumId w:val="20"/>
  </w:num>
  <w:num w:numId="23">
    <w:abstractNumId w:val="96"/>
  </w:num>
  <w:num w:numId="24">
    <w:abstractNumId w:val="44"/>
  </w:num>
  <w:num w:numId="25">
    <w:abstractNumId w:val="37"/>
  </w:num>
  <w:num w:numId="26">
    <w:abstractNumId w:val="71"/>
  </w:num>
  <w:num w:numId="27">
    <w:abstractNumId w:val="51"/>
  </w:num>
  <w:num w:numId="28">
    <w:abstractNumId w:val="85"/>
  </w:num>
  <w:num w:numId="29">
    <w:abstractNumId w:val="47"/>
  </w:num>
  <w:num w:numId="30">
    <w:abstractNumId w:val="80"/>
  </w:num>
  <w:num w:numId="31">
    <w:abstractNumId w:val="97"/>
  </w:num>
  <w:num w:numId="32">
    <w:abstractNumId w:val="58"/>
  </w:num>
  <w:num w:numId="33">
    <w:abstractNumId w:val="36"/>
  </w:num>
  <w:num w:numId="34">
    <w:abstractNumId w:val="84"/>
  </w:num>
  <w:num w:numId="35">
    <w:abstractNumId w:val="50"/>
  </w:num>
  <w:num w:numId="36">
    <w:abstractNumId w:val="69"/>
  </w:num>
  <w:num w:numId="37">
    <w:abstractNumId w:val="91"/>
  </w:num>
  <w:num w:numId="38">
    <w:abstractNumId w:val="78"/>
  </w:num>
  <w:num w:numId="39">
    <w:abstractNumId w:val="35"/>
  </w:num>
  <w:num w:numId="40">
    <w:abstractNumId w:val="25"/>
  </w:num>
  <w:num w:numId="41">
    <w:abstractNumId w:val="61"/>
  </w:num>
  <w:num w:numId="42">
    <w:abstractNumId w:val="73"/>
  </w:num>
  <w:num w:numId="43">
    <w:abstractNumId w:val="29"/>
  </w:num>
  <w:num w:numId="44">
    <w:abstractNumId w:val="34"/>
  </w:num>
  <w:num w:numId="45">
    <w:abstractNumId w:val="38"/>
  </w:num>
  <w:num w:numId="46">
    <w:abstractNumId w:val="94"/>
  </w:num>
  <w:num w:numId="47">
    <w:abstractNumId w:val="95"/>
  </w:num>
  <w:num w:numId="48">
    <w:abstractNumId w:val="99"/>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89"/>
  </w:num>
  <w:num w:numId="54">
    <w:abstractNumId w:val="70"/>
  </w:num>
  <w:num w:numId="55">
    <w:abstractNumId w:val="43"/>
  </w:num>
  <w:num w:numId="56">
    <w:abstractNumId w:val="39"/>
  </w:num>
  <w:num w:numId="57">
    <w:abstractNumId w:val="53"/>
  </w:num>
  <w:num w:numId="58">
    <w:abstractNumId w:val="41"/>
  </w:num>
  <w:num w:numId="59">
    <w:abstractNumId w:val="23"/>
  </w:num>
  <w:num w:numId="60">
    <w:abstractNumId w:val="90"/>
  </w:num>
  <w:num w:numId="61">
    <w:abstractNumId w:val="93"/>
  </w:num>
  <w:num w:numId="62">
    <w:abstractNumId w:val="83"/>
  </w:num>
  <w:num w:numId="63">
    <w:abstractNumId w:val="45"/>
  </w:num>
  <w:num w:numId="64">
    <w:abstractNumId w:val="76"/>
  </w:num>
  <w:num w:numId="65">
    <w:abstractNumId w:val="72"/>
  </w:num>
  <w:num w:numId="66">
    <w:abstractNumId w:val="55"/>
  </w:num>
  <w:num w:numId="67">
    <w:abstractNumId w:val="60"/>
  </w:num>
  <w:num w:numId="68">
    <w:abstractNumId w:val="48"/>
  </w:num>
  <w:num w:numId="69">
    <w:abstractNumId w:val="17"/>
  </w:num>
  <w:num w:numId="70">
    <w:abstractNumId w:val="98"/>
  </w:num>
  <w:num w:numId="71">
    <w:abstractNumId w:val="26"/>
  </w:num>
  <w:num w:numId="72">
    <w:abstractNumId w:val="30"/>
  </w:num>
  <w:num w:numId="73">
    <w:abstractNumId w:val="33"/>
  </w:num>
  <w:num w:numId="74">
    <w:abstractNumId w:val="77"/>
  </w:num>
  <w:num w:numId="75">
    <w:abstractNumId w:val="21"/>
  </w:num>
  <w:num w:numId="76">
    <w:abstractNumId w:val="64"/>
  </w:num>
  <w:num w:numId="77">
    <w:abstractNumId w:val="63"/>
  </w:num>
  <w:num w:numId="78">
    <w:abstractNumId w:val="27"/>
  </w:num>
  <w:num w:numId="79">
    <w:abstractNumId w:val="28"/>
  </w:num>
  <w:num w:numId="80">
    <w:abstractNumId w:val="82"/>
  </w:num>
  <w:num w:numId="81">
    <w:abstractNumId w:val="92"/>
  </w:num>
  <w:num w:numId="82">
    <w:abstractNumId w:val="66"/>
  </w:num>
  <w:num w:numId="83">
    <w:abstractNumId w:val="75"/>
  </w:num>
  <w:num w:numId="84">
    <w:abstractNumId w:val="15"/>
  </w:num>
  <w:num w:numId="85">
    <w:abstractNumId w:val="13"/>
  </w:num>
  <w:num w:numId="86">
    <w:abstractNumId w:val="65"/>
  </w:num>
  <w:num w:numId="87">
    <w:abstractNumId w:val="86"/>
  </w:num>
  <w:num w:numId="88">
    <w:abstractNumId w:val="101"/>
  </w:num>
  <w:num w:numId="89">
    <w:abstractNumId w:val="102"/>
  </w:num>
  <w:num w:numId="90">
    <w:abstractNumId w:val="12"/>
  </w:num>
  <w:num w:numId="91">
    <w:abstractNumId w:val="64"/>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num>
  <w:num w:numId="94">
    <w:abstractNumId w:val="56"/>
  </w:num>
  <w:num w:numId="95">
    <w:abstractNumId w:val="46"/>
  </w:num>
  <w:num w:numId="96">
    <w:abstractNumId w:val="52"/>
  </w:num>
  <w:num w:numId="97">
    <w:abstractNumId w:val="54"/>
  </w:num>
  <w:num w:numId="98">
    <w:abstractNumId w:val="40"/>
  </w:num>
  <w:num w:numId="99">
    <w:abstractNumId w:val="22"/>
  </w:num>
  <w:num w:numId="100">
    <w:abstractNumId w:val="31"/>
  </w:num>
  <w:num w:numId="101">
    <w:abstractNumId w:val="59"/>
  </w:num>
  <w:num w:numId="102">
    <w:abstractNumId w:val="18"/>
  </w:num>
  <w:num w:numId="103">
    <w:abstractNumId w:val="5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6/01/2021 11:33"/>
  </w:docVars>
  <w:rsids>
    <w:rsidRoot w:val="00915FD6"/>
    <w:rsid w:val="00000618"/>
    <w:rsid w:val="000015DB"/>
    <w:rsid w:val="0000717A"/>
    <w:rsid w:val="00007C1F"/>
    <w:rsid w:val="00011942"/>
    <w:rsid w:val="00011DEF"/>
    <w:rsid w:val="000124E8"/>
    <w:rsid w:val="00014DD2"/>
    <w:rsid w:val="00014F0A"/>
    <w:rsid w:val="000168D3"/>
    <w:rsid w:val="00016FBE"/>
    <w:rsid w:val="00017894"/>
    <w:rsid w:val="00022045"/>
    <w:rsid w:val="000255A7"/>
    <w:rsid w:val="00027FD0"/>
    <w:rsid w:val="00036338"/>
    <w:rsid w:val="00036487"/>
    <w:rsid w:val="00036698"/>
    <w:rsid w:val="00037007"/>
    <w:rsid w:val="000406FB"/>
    <w:rsid w:val="00043449"/>
    <w:rsid w:val="00043688"/>
    <w:rsid w:val="00044504"/>
    <w:rsid w:val="00045EF6"/>
    <w:rsid w:val="0004676B"/>
    <w:rsid w:val="000501C4"/>
    <w:rsid w:val="000519B7"/>
    <w:rsid w:val="00052F77"/>
    <w:rsid w:val="00053676"/>
    <w:rsid w:val="00053AE4"/>
    <w:rsid w:val="00053F9F"/>
    <w:rsid w:val="00054DCE"/>
    <w:rsid w:val="0005505D"/>
    <w:rsid w:val="0006209D"/>
    <w:rsid w:val="00062C2A"/>
    <w:rsid w:val="00063796"/>
    <w:rsid w:val="0006515F"/>
    <w:rsid w:val="00065ADD"/>
    <w:rsid w:val="0007242B"/>
    <w:rsid w:val="00072B23"/>
    <w:rsid w:val="00072D76"/>
    <w:rsid w:val="00072EE6"/>
    <w:rsid w:val="000742BB"/>
    <w:rsid w:val="00074C3B"/>
    <w:rsid w:val="000755D8"/>
    <w:rsid w:val="000779E5"/>
    <w:rsid w:val="00080005"/>
    <w:rsid w:val="000802C1"/>
    <w:rsid w:val="000814D6"/>
    <w:rsid w:val="00081F39"/>
    <w:rsid w:val="0008243B"/>
    <w:rsid w:val="00082EB2"/>
    <w:rsid w:val="0008395F"/>
    <w:rsid w:val="00084313"/>
    <w:rsid w:val="000851C1"/>
    <w:rsid w:val="000874F2"/>
    <w:rsid w:val="000875EC"/>
    <w:rsid w:val="00091899"/>
    <w:rsid w:val="00091F43"/>
    <w:rsid w:val="00095959"/>
    <w:rsid w:val="000967FB"/>
    <w:rsid w:val="00097317"/>
    <w:rsid w:val="00097FAF"/>
    <w:rsid w:val="000A14B0"/>
    <w:rsid w:val="000A3197"/>
    <w:rsid w:val="000A6843"/>
    <w:rsid w:val="000B4473"/>
    <w:rsid w:val="000B4725"/>
    <w:rsid w:val="000B4A6D"/>
    <w:rsid w:val="000B5552"/>
    <w:rsid w:val="000C082D"/>
    <w:rsid w:val="000C17CF"/>
    <w:rsid w:val="000C31CE"/>
    <w:rsid w:val="000C524C"/>
    <w:rsid w:val="000C5E3B"/>
    <w:rsid w:val="000C5E57"/>
    <w:rsid w:val="000C680D"/>
    <w:rsid w:val="000C6851"/>
    <w:rsid w:val="000C6B36"/>
    <w:rsid w:val="000C6FD7"/>
    <w:rsid w:val="000D0E79"/>
    <w:rsid w:val="000D1E73"/>
    <w:rsid w:val="000D60BF"/>
    <w:rsid w:val="000E1217"/>
    <w:rsid w:val="000E1899"/>
    <w:rsid w:val="000E4334"/>
    <w:rsid w:val="000E4929"/>
    <w:rsid w:val="000E784A"/>
    <w:rsid w:val="000F40AF"/>
    <w:rsid w:val="000F42C9"/>
    <w:rsid w:val="000F665E"/>
    <w:rsid w:val="000F6E9E"/>
    <w:rsid w:val="0010554E"/>
    <w:rsid w:val="00107AC0"/>
    <w:rsid w:val="00111723"/>
    <w:rsid w:val="001144E2"/>
    <w:rsid w:val="001150E5"/>
    <w:rsid w:val="001207F1"/>
    <w:rsid w:val="001228F6"/>
    <w:rsid w:val="00125C2F"/>
    <w:rsid w:val="00126CDA"/>
    <w:rsid w:val="00127884"/>
    <w:rsid w:val="00133FF3"/>
    <w:rsid w:val="00134657"/>
    <w:rsid w:val="001374C3"/>
    <w:rsid w:val="001404E6"/>
    <w:rsid w:val="00141544"/>
    <w:rsid w:val="00152D0A"/>
    <w:rsid w:val="00154C5A"/>
    <w:rsid w:val="001579F4"/>
    <w:rsid w:val="00160018"/>
    <w:rsid w:val="001600CE"/>
    <w:rsid w:val="001601BC"/>
    <w:rsid w:val="00160A26"/>
    <w:rsid w:val="00163709"/>
    <w:rsid w:val="001639A9"/>
    <w:rsid w:val="00163B55"/>
    <w:rsid w:val="001709B9"/>
    <w:rsid w:val="00172F8B"/>
    <w:rsid w:val="00174A2E"/>
    <w:rsid w:val="001777DC"/>
    <w:rsid w:val="00180479"/>
    <w:rsid w:val="0018318F"/>
    <w:rsid w:val="001916E8"/>
    <w:rsid w:val="00193E25"/>
    <w:rsid w:val="001A2609"/>
    <w:rsid w:val="001A499E"/>
    <w:rsid w:val="001A5F76"/>
    <w:rsid w:val="001A6296"/>
    <w:rsid w:val="001A6368"/>
    <w:rsid w:val="001A6BD9"/>
    <w:rsid w:val="001A7FE7"/>
    <w:rsid w:val="001B155A"/>
    <w:rsid w:val="001B1AFB"/>
    <w:rsid w:val="001B2DD5"/>
    <w:rsid w:val="001B3E4F"/>
    <w:rsid w:val="001B47A1"/>
    <w:rsid w:val="001B5E5C"/>
    <w:rsid w:val="001B7AE3"/>
    <w:rsid w:val="001C2498"/>
    <w:rsid w:val="001C258F"/>
    <w:rsid w:val="001C2940"/>
    <w:rsid w:val="001C3BAF"/>
    <w:rsid w:val="001C72E4"/>
    <w:rsid w:val="001D1F3B"/>
    <w:rsid w:val="001D1F6F"/>
    <w:rsid w:val="001D42EE"/>
    <w:rsid w:val="001E1E4C"/>
    <w:rsid w:val="001E282E"/>
    <w:rsid w:val="001E37F3"/>
    <w:rsid w:val="001E4324"/>
    <w:rsid w:val="001E4C14"/>
    <w:rsid w:val="001E58C1"/>
    <w:rsid w:val="001E599A"/>
    <w:rsid w:val="001E6DC7"/>
    <w:rsid w:val="001E7449"/>
    <w:rsid w:val="001F02D2"/>
    <w:rsid w:val="001F0C37"/>
    <w:rsid w:val="001F59AC"/>
    <w:rsid w:val="001F5BCD"/>
    <w:rsid w:val="001F6561"/>
    <w:rsid w:val="00201249"/>
    <w:rsid w:val="002029C9"/>
    <w:rsid w:val="002034B3"/>
    <w:rsid w:val="0020358E"/>
    <w:rsid w:val="00203738"/>
    <w:rsid w:val="00203C22"/>
    <w:rsid w:val="00204FF7"/>
    <w:rsid w:val="00206FA3"/>
    <w:rsid w:val="00212310"/>
    <w:rsid w:val="00212E53"/>
    <w:rsid w:val="00215ED8"/>
    <w:rsid w:val="00220252"/>
    <w:rsid w:val="00221566"/>
    <w:rsid w:val="0022338E"/>
    <w:rsid w:val="00223FB8"/>
    <w:rsid w:val="00225EB5"/>
    <w:rsid w:val="00230A98"/>
    <w:rsid w:val="0023102B"/>
    <w:rsid w:val="00231AED"/>
    <w:rsid w:val="00235973"/>
    <w:rsid w:val="00237D0A"/>
    <w:rsid w:val="0024248E"/>
    <w:rsid w:val="00244F80"/>
    <w:rsid w:val="00245D8C"/>
    <w:rsid w:val="0024631E"/>
    <w:rsid w:val="00246AEF"/>
    <w:rsid w:val="00250CA4"/>
    <w:rsid w:val="002526DB"/>
    <w:rsid w:val="0025320D"/>
    <w:rsid w:val="002543D6"/>
    <w:rsid w:val="00255121"/>
    <w:rsid w:val="00255F52"/>
    <w:rsid w:val="00256D87"/>
    <w:rsid w:val="002601C9"/>
    <w:rsid w:val="002606B0"/>
    <w:rsid w:val="00274943"/>
    <w:rsid w:val="002777C0"/>
    <w:rsid w:val="002800F4"/>
    <w:rsid w:val="0028490B"/>
    <w:rsid w:val="00284D79"/>
    <w:rsid w:val="00287080"/>
    <w:rsid w:val="002871BD"/>
    <w:rsid w:val="00287F83"/>
    <w:rsid w:val="00290141"/>
    <w:rsid w:val="00293056"/>
    <w:rsid w:val="00293CCA"/>
    <w:rsid w:val="002955F4"/>
    <w:rsid w:val="002A24D7"/>
    <w:rsid w:val="002A44F6"/>
    <w:rsid w:val="002A5E9F"/>
    <w:rsid w:val="002A6EF5"/>
    <w:rsid w:val="002B177C"/>
    <w:rsid w:val="002B5010"/>
    <w:rsid w:val="002B74E5"/>
    <w:rsid w:val="002C0847"/>
    <w:rsid w:val="002C79A9"/>
    <w:rsid w:val="002C7A73"/>
    <w:rsid w:val="002C7B08"/>
    <w:rsid w:val="002D057B"/>
    <w:rsid w:val="002D0996"/>
    <w:rsid w:val="002D0A58"/>
    <w:rsid w:val="002D1113"/>
    <w:rsid w:val="002D45D5"/>
    <w:rsid w:val="002E3D70"/>
    <w:rsid w:val="002F0364"/>
    <w:rsid w:val="002F1F0A"/>
    <w:rsid w:val="002F3C76"/>
    <w:rsid w:val="002F4052"/>
    <w:rsid w:val="002F52E6"/>
    <w:rsid w:val="002F6276"/>
    <w:rsid w:val="00300A8C"/>
    <w:rsid w:val="00304EE6"/>
    <w:rsid w:val="0030555B"/>
    <w:rsid w:val="003130F2"/>
    <w:rsid w:val="00313B1F"/>
    <w:rsid w:val="00313F3C"/>
    <w:rsid w:val="003176CB"/>
    <w:rsid w:val="00320739"/>
    <w:rsid w:val="00321D15"/>
    <w:rsid w:val="00323250"/>
    <w:rsid w:val="0033136A"/>
    <w:rsid w:val="003326EB"/>
    <w:rsid w:val="00333011"/>
    <w:rsid w:val="00335685"/>
    <w:rsid w:val="00337E6A"/>
    <w:rsid w:val="00340369"/>
    <w:rsid w:val="0034234C"/>
    <w:rsid w:val="00343CAA"/>
    <w:rsid w:val="003448F8"/>
    <w:rsid w:val="00345198"/>
    <w:rsid w:val="00345AD7"/>
    <w:rsid w:val="003471BE"/>
    <w:rsid w:val="003518E4"/>
    <w:rsid w:val="00351E0F"/>
    <w:rsid w:val="00352607"/>
    <w:rsid w:val="00360C18"/>
    <w:rsid w:val="00360D2B"/>
    <w:rsid w:val="003618A4"/>
    <w:rsid w:val="00361A49"/>
    <w:rsid w:val="00362A54"/>
    <w:rsid w:val="003637FA"/>
    <w:rsid w:val="00363F9B"/>
    <w:rsid w:val="0037256E"/>
    <w:rsid w:val="00372596"/>
    <w:rsid w:val="003746D7"/>
    <w:rsid w:val="00375902"/>
    <w:rsid w:val="00377263"/>
    <w:rsid w:val="00377764"/>
    <w:rsid w:val="003803B8"/>
    <w:rsid w:val="0038057F"/>
    <w:rsid w:val="00380761"/>
    <w:rsid w:val="00382438"/>
    <w:rsid w:val="00386950"/>
    <w:rsid w:val="0038723F"/>
    <w:rsid w:val="00387DA8"/>
    <w:rsid w:val="0039332A"/>
    <w:rsid w:val="0039585C"/>
    <w:rsid w:val="003A55E2"/>
    <w:rsid w:val="003A6966"/>
    <w:rsid w:val="003A6A24"/>
    <w:rsid w:val="003B054A"/>
    <w:rsid w:val="003B26C5"/>
    <w:rsid w:val="003B2BCA"/>
    <w:rsid w:val="003B360E"/>
    <w:rsid w:val="003B3BF6"/>
    <w:rsid w:val="003B5624"/>
    <w:rsid w:val="003B563A"/>
    <w:rsid w:val="003C218E"/>
    <w:rsid w:val="003C3B86"/>
    <w:rsid w:val="003C5E07"/>
    <w:rsid w:val="003C70F5"/>
    <w:rsid w:val="003D06DC"/>
    <w:rsid w:val="003D0EEE"/>
    <w:rsid w:val="003D1FC9"/>
    <w:rsid w:val="003D31E8"/>
    <w:rsid w:val="003D78F6"/>
    <w:rsid w:val="003D7F73"/>
    <w:rsid w:val="003E0B05"/>
    <w:rsid w:val="003E12C7"/>
    <w:rsid w:val="003E243B"/>
    <w:rsid w:val="003E73E6"/>
    <w:rsid w:val="003E7FED"/>
    <w:rsid w:val="003F3C52"/>
    <w:rsid w:val="003F60F5"/>
    <w:rsid w:val="003F64D5"/>
    <w:rsid w:val="003F79CF"/>
    <w:rsid w:val="00400E57"/>
    <w:rsid w:val="00404B32"/>
    <w:rsid w:val="004070BA"/>
    <w:rsid w:val="0041086A"/>
    <w:rsid w:val="00411465"/>
    <w:rsid w:val="0041180B"/>
    <w:rsid w:val="00413CE1"/>
    <w:rsid w:val="00415BD4"/>
    <w:rsid w:val="00425886"/>
    <w:rsid w:val="00425A24"/>
    <w:rsid w:val="00425C58"/>
    <w:rsid w:val="004269F8"/>
    <w:rsid w:val="004270B9"/>
    <w:rsid w:val="00427FB6"/>
    <w:rsid w:val="00430644"/>
    <w:rsid w:val="00431A9A"/>
    <w:rsid w:val="00432320"/>
    <w:rsid w:val="00432DE0"/>
    <w:rsid w:val="004363A4"/>
    <w:rsid w:val="00440A16"/>
    <w:rsid w:val="00442C37"/>
    <w:rsid w:val="004453BD"/>
    <w:rsid w:val="00446C19"/>
    <w:rsid w:val="004507C5"/>
    <w:rsid w:val="00452EFB"/>
    <w:rsid w:val="0045361B"/>
    <w:rsid w:val="00455303"/>
    <w:rsid w:val="0045551F"/>
    <w:rsid w:val="0046409A"/>
    <w:rsid w:val="004674E0"/>
    <w:rsid w:val="0047146F"/>
    <w:rsid w:val="004752E0"/>
    <w:rsid w:val="00475400"/>
    <w:rsid w:val="00475A1D"/>
    <w:rsid w:val="00480512"/>
    <w:rsid w:val="0048194A"/>
    <w:rsid w:val="0048250F"/>
    <w:rsid w:val="00484F9B"/>
    <w:rsid w:val="00486170"/>
    <w:rsid w:val="0048708A"/>
    <w:rsid w:val="00487E1A"/>
    <w:rsid w:val="00490178"/>
    <w:rsid w:val="0049070E"/>
    <w:rsid w:val="00491014"/>
    <w:rsid w:val="004930BA"/>
    <w:rsid w:val="004950E5"/>
    <w:rsid w:val="004A1958"/>
    <w:rsid w:val="004A2CFB"/>
    <w:rsid w:val="004A3EDE"/>
    <w:rsid w:val="004A67A8"/>
    <w:rsid w:val="004A6859"/>
    <w:rsid w:val="004B080E"/>
    <w:rsid w:val="004B1A07"/>
    <w:rsid w:val="004B2F02"/>
    <w:rsid w:val="004B47E7"/>
    <w:rsid w:val="004B7816"/>
    <w:rsid w:val="004B7CCA"/>
    <w:rsid w:val="004C170F"/>
    <w:rsid w:val="004C2DA8"/>
    <w:rsid w:val="004C31EE"/>
    <w:rsid w:val="004C56D7"/>
    <w:rsid w:val="004C5899"/>
    <w:rsid w:val="004C6D47"/>
    <w:rsid w:val="004D4E5C"/>
    <w:rsid w:val="004D4E6D"/>
    <w:rsid w:val="004D5E5F"/>
    <w:rsid w:val="004D7471"/>
    <w:rsid w:val="004E0929"/>
    <w:rsid w:val="004E0A80"/>
    <w:rsid w:val="004E166F"/>
    <w:rsid w:val="004E25EA"/>
    <w:rsid w:val="004E451C"/>
    <w:rsid w:val="004E6EAA"/>
    <w:rsid w:val="004E7169"/>
    <w:rsid w:val="004E72FA"/>
    <w:rsid w:val="004F13CC"/>
    <w:rsid w:val="004F405A"/>
    <w:rsid w:val="004F5632"/>
    <w:rsid w:val="004F7894"/>
    <w:rsid w:val="00500A03"/>
    <w:rsid w:val="00506AD6"/>
    <w:rsid w:val="00510A99"/>
    <w:rsid w:val="005114FE"/>
    <w:rsid w:val="0051532D"/>
    <w:rsid w:val="005169D1"/>
    <w:rsid w:val="0051776D"/>
    <w:rsid w:val="005200C5"/>
    <w:rsid w:val="005200DF"/>
    <w:rsid w:val="0052010E"/>
    <w:rsid w:val="005209F7"/>
    <w:rsid w:val="00523F57"/>
    <w:rsid w:val="00524F9D"/>
    <w:rsid w:val="00526177"/>
    <w:rsid w:val="00527689"/>
    <w:rsid w:val="005300FF"/>
    <w:rsid w:val="00530FE6"/>
    <w:rsid w:val="00532098"/>
    <w:rsid w:val="005372C7"/>
    <w:rsid w:val="005432A6"/>
    <w:rsid w:val="005441BD"/>
    <w:rsid w:val="00545357"/>
    <w:rsid w:val="005465B6"/>
    <w:rsid w:val="0054680F"/>
    <w:rsid w:val="00546C1E"/>
    <w:rsid w:val="00550561"/>
    <w:rsid w:val="00551052"/>
    <w:rsid w:val="005536C5"/>
    <w:rsid w:val="00557B72"/>
    <w:rsid w:val="0056035B"/>
    <w:rsid w:val="0056108B"/>
    <w:rsid w:val="00563573"/>
    <w:rsid w:val="00564699"/>
    <w:rsid w:val="00565613"/>
    <w:rsid w:val="00565FE8"/>
    <w:rsid w:val="005674A7"/>
    <w:rsid w:val="00574AB8"/>
    <w:rsid w:val="005752A4"/>
    <w:rsid w:val="00575E65"/>
    <w:rsid w:val="005762C4"/>
    <w:rsid w:val="00580856"/>
    <w:rsid w:val="00587227"/>
    <w:rsid w:val="00590A8F"/>
    <w:rsid w:val="00592A29"/>
    <w:rsid w:val="00594F39"/>
    <w:rsid w:val="005961BE"/>
    <w:rsid w:val="005A5340"/>
    <w:rsid w:val="005B17C9"/>
    <w:rsid w:val="005B2BA8"/>
    <w:rsid w:val="005B2F47"/>
    <w:rsid w:val="005B6730"/>
    <w:rsid w:val="005B6AEB"/>
    <w:rsid w:val="005C0318"/>
    <w:rsid w:val="005C1159"/>
    <w:rsid w:val="005C21A0"/>
    <w:rsid w:val="005C3850"/>
    <w:rsid w:val="005C4048"/>
    <w:rsid w:val="005C49A2"/>
    <w:rsid w:val="005C6CB9"/>
    <w:rsid w:val="005C6FD3"/>
    <w:rsid w:val="005D2378"/>
    <w:rsid w:val="005D27FC"/>
    <w:rsid w:val="005D657C"/>
    <w:rsid w:val="005E5450"/>
    <w:rsid w:val="005E7B4B"/>
    <w:rsid w:val="005F1A5B"/>
    <w:rsid w:val="005F28F7"/>
    <w:rsid w:val="005F32C9"/>
    <w:rsid w:val="005F5517"/>
    <w:rsid w:val="005F5698"/>
    <w:rsid w:val="005F6BAB"/>
    <w:rsid w:val="006000B2"/>
    <w:rsid w:val="00601123"/>
    <w:rsid w:val="0060640A"/>
    <w:rsid w:val="00612A64"/>
    <w:rsid w:val="00613711"/>
    <w:rsid w:val="00616162"/>
    <w:rsid w:val="00617F63"/>
    <w:rsid w:val="00620506"/>
    <w:rsid w:val="00622A41"/>
    <w:rsid w:val="006231AA"/>
    <w:rsid w:val="00624AB2"/>
    <w:rsid w:val="0062515D"/>
    <w:rsid w:val="0062591A"/>
    <w:rsid w:val="00625ADB"/>
    <w:rsid w:val="00625F3A"/>
    <w:rsid w:val="00632A49"/>
    <w:rsid w:val="006338F4"/>
    <w:rsid w:val="00634A40"/>
    <w:rsid w:val="006360E8"/>
    <w:rsid w:val="00636882"/>
    <w:rsid w:val="0063760B"/>
    <w:rsid w:val="00637D14"/>
    <w:rsid w:val="006420E4"/>
    <w:rsid w:val="0064386F"/>
    <w:rsid w:val="0064414D"/>
    <w:rsid w:val="006478D5"/>
    <w:rsid w:val="0065084E"/>
    <w:rsid w:val="00650BE1"/>
    <w:rsid w:val="00654972"/>
    <w:rsid w:val="00654E82"/>
    <w:rsid w:val="00654EC4"/>
    <w:rsid w:val="00655E59"/>
    <w:rsid w:val="00656C6A"/>
    <w:rsid w:val="00660BEE"/>
    <w:rsid w:val="00662850"/>
    <w:rsid w:val="00664F76"/>
    <w:rsid w:val="006663C0"/>
    <w:rsid w:val="00674531"/>
    <w:rsid w:val="006762E0"/>
    <w:rsid w:val="00676D35"/>
    <w:rsid w:val="006777B9"/>
    <w:rsid w:val="006817C6"/>
    <w:rsid w:val="00681FE0"/>
    <w:rsid w:val="0068496B"/>
    <w:rsid w:val="00687811"/>
    <w:rsid w:val="00687EF5"/>
    <w:rsid w:val="00691A58"/>
    <w:rsid w:val="00691CFD"/>
    <w:rsid w:val="00693A0F"/>
    <w:rsid w:val="0069498B"/>
    <w:rsid w:val="00695C87"/>
    <w:rsid w:val="00695F2D"/>
    <w:rsid w:val="00697517"/>
    <w:rsid w:val="006A1F7E"/>
    <w:rsid w:val="006A28F6"/>
    <w:rsid w:val="006A3232"/>
    <w:rsid w:val="006A43AF"/>
    <w:rsid w:val="006A4BF2"/>
    <w:rsid w:val="006A6CC8"/>
    <w:rsid w:val="006A6F48"/>
    <w:rsid w:val="006B0BA0"/>
    <w:rsid w:val="006B3FEC"/>
    <w:rsid w:val="006B5F35"/>
    <w:rsid w:val="006B7150"/>
    <w:rsid w:val="006C4E51"/>
    <w:rsid w:val="006C708D"/>
    <w:rsid w:val="006C762C"/>
    <w:rsid w:val="006C7BC0"/>
    <w:rsid w:val="006C7CAD"/>
    <w:rsid w:val="006D2097"/>
    <w:rsid w:val="006D31CA"/>
    <w:rsid w:val="006D3B1C"/>
    <w:rsid w:val="006D487E"/>
    <w:rsid w:val="006D670E"/>
    <w:rsid w:val="006D671E"/>
    <w:rsid w:val="006E3C2A"/>
    <w:rsid w:val="006E48AB"/>
    <w:rsid w:val="006E7503"/>
    <w:rsid w:val="006E7527"/>
    <w:rsid w:val="006F0F0E"/>
    <w:rsid w:val="006F1817"/>
    <w:rsid w:val="006F19B0"/>
    <w:rsid w:val="006F1CD9"/>
    <w:rsid w:val="006F276A"/>
    <w:rsid w:val="006F4F1F"/>
    <w:rsid w:val="006F7789"/>
    <w:rsid w:val="007005CE"/>
    <w:rsid w:val="00701340"/>
    <w:rsid w:val="007024F1"/>
    <w:rsid w:val="007037C2"/>
    <w:rsid w:val="0070496A"/>
    <w:rsid w:val="00706B44"/>
    <w:rsid w:val="007105F2"/>
    <w:rsid w:val="007106F5"/>
    <w:rsid w:val="00713DA0"/>
    <w:rsid w:val="00717815"/>
    <w:rsid w:val="00722024"/>
    <w:rsid w:val="00722B46"/>
    <w:rsid w:val="00722E61"/>
    <w:rsid w:val="00724F73"/>
    <w:rsid w:val="00725595"/>
    <w:rsid w:val="00726D56"/>
    <w:rsid w:val="00727BD1"/>
    <w:rsid w:val="00727DD4"/>
    <w:rsid w:val="00730223"/>
    <w:rsid w:val="00730E2E"/>
    <w:rsid w:val="00731BE8"/>
    <w:rsid w:val="007335E4"/>
    <w:rsid w:val="00733E3F"/>
    <w:rsid w:val="00734668"/>
    <w:rsid w:val="00734C10"/>
    <w:rsid w:val="0073570E"/>
    <w:rsid w:val="00735AFF"/>
    <w:rsid w:val="0074034A"/>
    <w:rsid w:val="007419AB"/>
    <w:rsid w:val="007427CB"/>
    <w:rsid w:val="00742ED1"/>
    <w:rsid w:val="00744A1A"/>
    <w:rsid w:val="0074517A"/>
    <w:rsid w:val="00745268"/>
    <w:rsid w:val="007506E4"/>
    <w:rsid w:val="00750F51"/>
    <w:rsid w:val="00751245"/>
    <w:rsid w:val="0075238F"/>
    <w:rsid w:val="00754A4E"/>
    <w:rsid w:val="00755A8C"/>
    <w:rsid w:val="00760159"/>
    <w:rsid w:val="007606F6"/>
    <w:rsid w:val="00762668"/>
    <w:rsid w:val="00763A26"/>
    <w:rsid w:val="00764715"/>
    <w:rsid w:val="00765718"/>
    <w:rsid w:val="00765B91"/>
    <w:rsid w:val="00765C47"/>
    <w:rsid w:val="007665B3"/>
    <w:rsid w:val="0076732E"/>
    <w:rsid w:val="0076756B"/>
    <w:rsid w:val="0077005A"/>
    <w:rsid w:val="00770528"/>
    <w:rsid w:val="0077344D"/>
    <w:rsid w:val="00774A0C"/>
    <w:rsid w:val="00777A64"/>
    <w:rsid w:val="00781430"/>
    <w:rsid w:val="00784221"/>
    <w:rsid w:val="007848E9"/>
    <w:rsid w:val="00786522"/>
    <w:rsid w:val="00786AD6"/>
    <w:rsid w:val="00786C21"/>
    <w:rsid w:val="0079180C"/>
    <w:rsid w:val="00794F5E"/>
    <w:rsid w:val="007977B2"/>
    <w:rsid w:val="007A2545"/>
    <w:rsid w:val="007A3ED9"/>
    <w:rsid w:val="007A6A98"/>
    <w:rsid w:val="007B034C"/>
    <w:rsid w:val="007B13D5"/>
    <w:rsid w:val="007B2763"/>
    <w:rsid w:val="007B43B8"/>
    <w:rsid w:val="007B4CC1"/>
    <w:rsid w:val="007B6DE7"/>
    <w:rsid w:val="007C0398"/>
    <w:rsid w:val="007D2507"/>
    <w:rsid w:val="007D7E0B"/>
    <w:rsid w:val="007E08D2"/>
    <w:rsid w:val="007E1CE8"/>
    <w:rsid w:val="007E34BD"/>
    <w:rsid w:val="007F25F7"/>
    <w:rsid w:val="007F29C5"/>
    <w:rsid w:val="007F33A5"/>
    <w:rsid w:val="007F37F9"/>
    <w:rsid w:val="007F57FC"/>
    <w:rsid w:val="007F6D07"/>
    <w:rsid w:val="00802D5F"/>
    <w:rsid w:val="008100CD"/>
    <w:rsid w:val="0081504E"/>
    <w:rsid w:val="00817476"/>
    <w:rsid w:val="008201C5"/>
    <w:rsid w:val="008222CD"/>
    <w:rsid w:val="00824CB5"/>
    <w:rsid w:val="00832CEB"/>
    <w:rsid w:val="00833C35"/>
    <w:rsid w:val="00841CD2"/>
    <w:rsid w:val="00843115"/>
    <w:rsid w:val="0084550B"/>
    <w:rsid w:val="0084554D"/>
    <w:rsid w:val="00845865"/>
    <w:rsid w:val="00846115"/>
    <w:rsid w:val="008476D8"/>
    <w:rsid w:val="00852FCB"/>
    <w:rsid w:val="008560FA"/>
    <w:rsid w:val="00862ADC"/>
    <w:rsid w:val="00863D3C"/>
    <w:rsid w:val="00866A29"/>
    <w:rsid w:val="008671D9"/>
    <w:rsid w:val="00870983"/>
    <w:rsid w:val="00872189"/>
    <w:rsid w:val="00873BA8"/>
    <w:rsid w:val="00874B7C"/>
    <w:rsid w:val="008779ED"/>
    <w:rsid w:val="00880C6D"/>
    <w:rsid w:val="00883A23"/>
    <w:rsid w:val="00883F59"/>
    <w:rsid w:val="008862D0"/>
    <w:rsid w:val="008866EA"/>
    <w:rsid w:val="008871C7"/>
    <w:rsid w:val="00890034"/>
    <w:rsid w:val="00890D0C"/>
    <w:rsid w:val="00891A2D"/>
    <w:rsid w:val="00891A9F"/>
    <w:rsid w:val="008942C4"/>
    <w:rsid w:val="00897375"/>
    <w:rsid w:val="008A0FAA"/>
    <w:rsid w:val="008A616C"/>
    <w:rsid w:val="008A63AD"/>
    <w:rsid w:val="008B00A5"/>
    <w:rsid w:val="008B32C4"/>
    <w:rsid w:val="008B3B22"/>
    <w:rsid w:val="008C130F"/>
    <w:rsid w:val="008C203F"/>
    <w:rsid w:val="008C372D"/>
    <w:rsid w:val="008C4F20"/>
    <w:rsid w:val="008C5850"/>
    <w:rsid w:val="008D33F4"/>
    <w:rsid w:val="008D3B12"/>
    <w:rsid w:val="008D56CA"/>
    <w:rsid w:val="008D687E"/>
    <w:rsid w:val="008E03FC"/>
    <w:rsid w:val="008E13BB"/>
    <w:rsid w:val="008E2344"/>
    <w:rsid w:val="008E4199"/>
    <w:rsid w:val="008F00BB"/>
    <w:rsid w:val="008F1762"/>
    <w:rsid w:val="008F1A15"/>
    <w:rsid w:val="008F39B8"/>
    <w:rsid w:val="008F6084"/>
    <w:rsid w:val="00900D8F"/>
    <w:rsid w:val="00900F06"/>
    <w:rsid w:val="00902A87"/>
    <w:rsid w:val="00905176"/>
    <w:rsid w:val="0090543F"/>
    <w:rsid w:val="00905D28"/>
    <w:rsid w:val="0091383D"/>
    <w:rsid w:val="0091421B"/>
    <w:rsid w:val="00915FD6"/>
    <w:rsid w:val="00917464"/>
    <w:rsid w:val="00923F8D"/>
    <w:rsid w:val="00925531"/>
    <w:rsid w:val="0092554C"/>
    <w:rsid w:val="009259DF"/>
    <w:rsid w:val="00927527"/>
    <w:rsid w:val="00927B8F"/>
    <w:rsid w:val="00927E8F"/>
    <w:rsid w:val="00930B35"/>
    <w:rsid w:val="009326E8"/>
    <w:rsid w:val="00934EC5"/>
    <w:rsid w:val="00936E1F"/>
    <w:rsid w:val="0094248C"/>
    <w:rsid w:val="0094249A"/>
    <w:rsid w:val="00942BE5"/>
    <w:rsid w:val="00944E73"/>
    <w:rsid w:val="00947F25"/>
    <w:rsid w:val="00950E4E"/>
    <w:rsid w:val="00954834"/>
    <w:rsid w:val="009562CE"/>
    <w:rsid w:val="00956FE4"/>
    <w:rsid w:val="00961F1D"/>
    <w:rsid w:val="00962DCA"/>
    <w:rsid w:val="0096523A"/>
    <w:rsid w:val="00966081"/>
    <w:rsid w:val="00971573"/>
    <w:rsid w:val="00972F62"/>
    <w:rsid w:val="00973FE2"/>
    <w:rsid w:val="009755B7"/>
    <w:rsid w:val="009761ED"/>
    <w:rsid w:val="009773CA"/>
    <w:rsid w:val="009811F5"/>
    <w:rsid w:val="0098560F"/>
    <w:rsid w:val="00987B9B"/>
    <w:rsid w:val="0099076B"/>
    <w:rsid w:val="00990D20"/>
    <w:rsid w:val="009919AB"/>
    <w:rsid w:val="009933B3"/>
    <w:rsid w:val="00994DFA"/>
    <w:rsid w:val="00995CBA"/>
    <w:rsid w:val="009970A3"/>
    <w:rsid w:val="00997EEE"/>
    <w:rsid w:val="009A04CF"/>
    <w:rsid w:val="009A1BC2"/>
    <w:rsid w:val="009A76BA"/>
    <w:rsid w:val="009B0876"/>
    <w:rsid w:val="009B119C"/>
    <w:rsid w:val="009B6BE1"/>
    <w:rsid w:val="009C0212"/>
    <w:rsid w:val="009C3287"/>
    <w:rsid w:val="009C3883"/>
    <w:rsid w:val="009C448F"/>
    <w:rsid w:val="009C4663"/>
    <w:rsid w:val="009C79F8"/>
    <w:rsid w:val="009C7FB4"/>
    <w:rsid w:val="009D0247"/>
    <w:rsid w:val="009D03A4"/>
    <w:rsid w:val="009D0C22"/>
    <w:rsid w:val="009D1652"/>
    <w:rsid w:val="009D1706"/>
    <w:rsid w:val="009D46CA"/>
    <w:rsid w:val="009E3D50"/>
    <w:rsid w:val="009E40B0"/>
    <w:rsid w:val="009E50DF"/>
    <w:rsid w:val="009E7518"/>
    <w:rsid w:val="009F4DCD"/>
    <w:rsid w:val="009F71DA"/>
    <w:rsid w:val="00A01914"/>
    <w:rsid w:val="00A02FD3"/>
    <w:rsid w:val="00A03CA0"/>
    <w:rsid w:val="00A11F1D"/>
    <w:rsid w:val="00A14440"/>
    <w:rsid w:val="00A17172"/>
    <w:rsid w:val="00A200DF"/>
    <w:rsid w:val="00A204ED"/>
    <w:rsid w:val="00A2094E"/>
    <w:rsid w:val="00A2102D"/>
    <w:rsid w:val="00A2438E"/>
    <w:rsid w:val="00A2454D"/>
    <w:rsid w:val="00A24E62"/>
    <w:rsid w:val="00A3332B"/>
    <w:rsid w:val="00A401D4"/>
    <w:rsid w:val="00A406F3"/>
    <w:rsid w:val="00A41D07"/>
    <w:rsid w:val="00A41F9C"/>
    <w:rsid w:val="00A42A33"/>
    <w:rsid w:val="00A43E9D"/>
    <w:rsid w:val="00A50127"/>
    <w:rsid w:val="00A535D7"/>
    <w:rsid w:val="00A56999"/>
    <w:rsid w:val="00A5798B"/>
    <w:rsid w:val="00A57D4F"/>
    <w:rsid w:val="00A665A5"/>
    <w:rsid w:val="00A70C25"/>
    <w:rsid w:val="00A71A03"/>
    <w:rsid w:val="00A72BCC"/>
    <w:rsid w:val="00A74B82"/>
    <w:rsid w:val="00A77924"/>
    <w:rsid w:val="00A80A5B"/>
    <w:rsid w:val="00A80F10"/>
    <w:rsid w:val="00A820C7"/>
    <w:rsid w:val="00A8609B"/>
    <w:rsid w:val="00A86D9E"/>
    <w:rsid w:val="00A925A7"/>
    <w:rsid w:val="00A94138"/>
    <w:rsid w:val="00A9473E"/>
    <w:rsid w:val="00A948AC"/>
    <w:rsid w:val="00A976AB"/>
    <w:rsid w:val="00A97A21"/>
    <w:rsid w:val="00A97E46"/>
    <w:rsid w:val="00AA117E"/>
    <w:rsid w:val="00AA71C6"/>
    <w:rsid w:val="00AA75AD"/>
    <w:rsid w:val="00AB28BD"/>
    <w:rsid w:val="00AB397E"/>
    <w:rsid w:val="00AB4290"/>
    <w:rsid w:val="00AB521F"/>
    <w:rsid w:val="00AB5CFC"/>
    <w:rsid w:val="00AB7329"/>
    <w:rsid w:val="00AC41D8"/>
    <w:rsid w:val="00AC450E"/>
    <w:rsid w:val="00AC5C95"/>
    <w:rsid w:val="00AD0E97"/>
    <w:rsid w:val="00AD4F27"/>
    <w:rsid w:val="00AD6740"/>
    <w:rsid w:val="00AD7682"/>
    <w:rsid w:val="00AE0B30"/>
    <w:rsid w:val="00AE452B"/>
    <w:rsid w:val="00AE6675"/>
    <w:rsid w:val="00AF0216"/>
    <w:rsid w:val="00AF03EF"/>
    <w:rsid w:val="00AF0A62"/>
    <w:rsid w:val="00AF1B9A"/>
    <w:rsid w:val="00AF2AA8"/>
    <w:rsid w:val="00AF39CF"/>
    <w:rsid w:val="00AF4432"/>
    <w:rsid w:val="00AF4484"/>
    <w:rsid w:val="00B01D49"/>
    <w:rsid w:val="00B02691"/>
    <w:rsid w:val="00B04544"/>
    <w:rsid w:val="00B10CF4"/>
    <w:rsid w:val="00B16BDB"/>
    <w:rsid w:val="00B17F7B"/>
    <w:rsid w:val="00B26D5D"/>
    <w:rsid w:val="00B31BB1"/>
    <w:rsid w:val="00B31F15"/>
    <w:rsid w:val="00B36B3B"/>
    <w:rsid w:val="00B4022E"/>
    <w:rsid w:val="00B427A2"/>
    <w:rsid w:val="00B509E1"/>
    <w:rsid w:val="00B50C66"/>
    <w:rsid w:val="00B520E2"/>
    <w:rsid w:val="00B52F9B"/>
    <w:rsid w:val="00B5385D"/>
    <w:rsid w:val="00B542BE"/>
    <w:rsid w:val="00B5540A"/>
    <w:rsid w:val="00B61B8E"/>
    <w:rsid w:val="00B61C64"/>
    <w:rsid w:val="00B61CCD"/>
    <w:rsid w:val="00B61F96"/>
    <w:rsid w:val="00B64672"/>
    <w:rsid w:val="00B65D02"/>
    <w:rsid w:val="00B66498"/>
    <w:rsid w:val="00B66D7C"/>
    <w:rsid w:val="00B7201D"/>
    <w:rsid w:val="00B74617"/>
    <w:rsid w:val="00B7468A"/>
    <w:rsid w:val="00B74E17"/>
    <w:rsid w:val="00B756FB"/>
    <w:rsid w:val="00B765A9"/>
    <w:rsid w:val="00B80A4E"/>
    <w:rsid w:val="00B81155"/>
    <w:rsid w:val="00B85360"/>
    <w:rsid w:val="00B85D88"/>
    <w:rsid w:val="00B870BA"/>
    <w:rsid w:val="00B911C4"/>
    <w:rsid w:val="00B93BE4"/>
    <w:rsid w:val="00B96AFF"/>
    <w:rsid w:val="00BA55A1"/>
    <w:rsid w:val="00BA5F78"/>
    <w:rsid w:val="00BA74B6"/>
    <w:rsid w:val="00BA7766"/>
    <w:rsid w:val="00BB2C62"/>
    <w:rsid w:val="00BB3589"/>
    <w:rsid w:val="00BB5553"/>
    <w:rsid w:val="00BB6553"/>
    <w:rsid w:val="00BB7687"/>
    <w:rsid w:val="00BB7DFF"/>
    <w:rsid w:val="00BC174A"/>
    <w:rsid w:val="00BC42C9"/>
    <w:rsid w:val="00BC5E9B"/>
    <w:rsid w:val="00BC7E8F"/>
    <w:rsid w:val="00BD2401"/>
    <w:rsid w:val="00BD25F0"/>
    <w:rsid w:val="00BE266D"/>
    <w:rsid w:val="00BE45C4"/>
    <w:rsid w:val="00BE6744"/>
    <w:rsid w:val="00BE6A9C"/>
    <w:rsid w:val="00BF0BA2"/>
    <w:rsid w:val="00BF127E"/>
    <w:rsid w:val="00BF3940"/>
    <w:rsid w:val="00BF394D"/>
    <w:rsid w:val="00BF522C"/>
    <w:rsid w:val="00BF7495"/>
    <w:rsid w:val="00C00E78"/>
    <w:rsid w:val="00C03343"/>
    <w:rsid w:val="00C05482"/>
    <w:rsid w:val="00C05BBE"/>
    <w:rsid w:val="00C06A94"/>
    <w:rsid w:val="00C106F9"/>
    <w:rsid w:val="00C113B0"/>
    <w:rsid w:val="00C12CF6"/>
    <w:rsid w:val="00C14383"/>
    <w:rsid w:val="00C17340"/>
    <w:rsid w:val="00C207AF"/>
    <w:rsid w:val="00C23D0D"/>
    <w:rsid w:val="00C25066"/>
    <w:rsid w:val="00C316E9"/>
    <w:rsid w:val="00C32C61"/>
    <w:rsid w:val="00C3403D"/>
    <w:rsid w:val="00C36ED9"/>
    <w:rsid w:val="00C37118"/>
    <w:rsid w:val="00C4117C"/>
    <w:rsid w:val="00C411F9"/>
    <w:rsid w:val="00C443D4"/>
    <w:rsid w:val="00C45225"/>
    <w:rsid w:val="00C453BF"/>
    <w:rsid w:val="00C45596"/>
    <w:rsid w:val="00C47DB2"/>
    <w:rsid w:val="00C52A54"/>
    <w:rsid w:val="00C54910"/>
    <w:rsid w:val="00C55590"/>
    <w:rsid w:val="00C5735E"/>
    <w:rsid w:val="00C6172D"/>
    <w:rsid w:val="00C63334"/>
    <w:rsid w:val="00C64610"/>
    <w:rsid w:val="00C64CC2"/>
    <w:rsid w:val="00C65192"/>
    <w:rsid w:val="00C703D9"/>
    <w:rsid w:val="00C71B18"/>
    <w:rsid w:val="00C73BE2"/>
    <w:rsid w:val="00C744F0"/>
    <w:rsid w:val="00C85E5A"/>
    <w:rsid w:val="00C90027"/>
    <w:rsid w:val="00C91C53"/>
    <w:rsid w:val="00C928FC"/>
    <w:rsid w:val="00C96A16"/>
    <w:rsid w:val="00CA2FCD"/>
    <w:rsid w:val="00CB02B5"/>
    <w:rsid w:val="00CB054B"/>
    <w:rsid w:val="00CB248E"/>
    <w:rsid w:val="00CB483A"/>
    <w:rsid w:val="00CB7DA9"/>
    <w:rsid w:val="00CC306F"/>
    <w:rsid w:val="00CC3FEF"/>
    <w:rsid w:val="00CC52B1"/>
    <w:rsid w:val="00CD16E4"/>
    <w:rsid w:val="00CD2342"/>
    <w:rsid w:val="00CD3D50"/>
    <w:rsid w:val="00CD66A4"/>
    <w:rsid w:val="00CE2CC6"/>
    <w:rsid w:val="00CE3A1A"/>
    <w:rsid w:val="00CE5283"/>
    <w:rsid w:val="00CE71AF"/>
    <w:rsid w:val="00CF0A81"/>
    <w:rsid w:val="00CF130F"/>
    <w:rsid w:val="00CF145A"/>
    <w:rsid w:val="00CF19E1"/>
    <w:rsid w:val="00CF2E55"/>
    <w:rsid w:val="00CF4477"/>
    <w:rsid w:val="00CF5560"/>
    <w:rsid w:val="00CF62C1"/>
    <w:rsid w:val="00D004F8"/>
    <w:rsid w:val="00D00799"/>
    <w:rsid w:val="00D020E2"/>
    <w:rsid w:val="00D06977"/>
    <w:rsid w:val="00D07FEE"/>
    <w:rsid w:val="00D107B2"/>
    <w:rsid w:val="00D125B5"/>
    <w:rsid w:val="00D14AAD"/>
    <w:rsid w:val="00D15389"/>
    <w:rsid w:val="00D2312D"/>
    <w:rsid w:val="00D27689"/>
    <w:rsid w:val="00D343C2"/>
    <w:rsid w:val="00D34E8B"/>
    <w:rsid w:val="00D3552F"/>
    <w:rsid w:val="00D41A9A"/>
    <w:rsid w:val="00D43446"/>
    <w:rsid w:val="00D43D05"/>
    <w:rsid w:val="00D46A25"/>
    <w:rsid w:val="00D46C24"/>
    <w:rsid w:val="00D47A30"/>
    <w:rsid w:val="00D47CA6"/>
    <w:rsid w:val="00D511F8"/>
    <w:rsid w:val="00D51224"/>
    <w:rsid w:val="00D53338"/>
    <w:rsid w:val="00D5357C"/>
    <w:rsid w:val="00D5620A"/>
    <w:rsid w:val="00D5679E"/>
    <w:rsid w:val="00D57F35"/>
    <w:rsid w:val="00D6095F"/>
    <w:rsid w:val="00D61846"/>
    <w:rsid w:val="00D63F67"/>
    <w:rsid w:val="00D6534E"/>
    <w:rsid w:val="00D65FE7"/>
    <w:rsid w:val="00D707CC"/>
    <w:rsid w:val="00D71D99"/>
    <w:rsid w:val="00D7382B"/>
    <w:rsid w:val="00D74F76"/>
    <w:rsid w:val="00D75608"/>
    <w:rsid w:val="00D75671"/>
    <w:rsid w:val="00D75943"/>
    <w:rsid w:val="00D763C0"/>
    <w:rsid w:val="00D763E6"/>
    <w:rsid w:val="00D80E74"/>
    <w:rsid w:val="00D831EE"/>
    <w:rsid w:val="00D8401A"/>
    <w:rsid w:val="00D84BE8"/>
    <w:rsid w:val="00D86411"/>
    <w:rsid w:val="00D903F8"/>
    <w:rsid w:val="00D90720"/>
    <w:rsid w:val="00D90CC0"/>
    <w:rsid w:val="00D90F4B"/>
    <w:rsid w:val="00D911BB"/>
    <w:rsid w:val="00D91DA0"/>
    <w:rsid w:val="00D96615"/>
    <w:rsid w:val="00DA16D8"/>
    <w:rsid w:val="00DA3018"/>
    <w:rsid w:val="00DA3A51"/>
    <w:rsid w:val="00DB00DE"/>
    <w:rsid w:val="00DB16C4"/>
    <w:rsid w:val="00DB1857"/>
    <w:rsid w:val="00DB50F8"/>
    <w:rsid w:val="00DB7260"/>
    <w:rsid w:val="00DC26BE"/>
    <w:rsid w:val="00DC2A9E"/>
    <w:rsid w:val="00DC312D"/>
    <w:rsid w:val="00DC3153"/>
    <w:rsid w:val="00DC36A2"/>
    <w:rsid w:val="00DC658C"/>
    <w:rsid w:val="00DD01A8"/>
    <w:rsid w:val="00DD1378"/>
    <w:rsid w:val="00DD1F41"/>
    <w:rsid w:val="00DD2EDA"/>
    <w:rsid w:val="00DD4EFA"/>
    <w:rsid w:val="00DD5025"/>
    <w:rsid w:val="00DD669E"/>
    <w:rsid w:val="00DE1281"/>
    <w:rsid w:val="00DE172D"/>
    <w:rsid w:val="00DE26F6"/>
    <w:rsid w:val="00DE288A"/>
    <w:rsid w:val="00DE6317"/>
    <w:rsid w:val="00DE6CC7"/>
    <w:rsid w:val="00DF0EBE"/>
    <w:rsid w:val="00DF391A"/>
    <w:rsid w:val="00DF5343"/>
    <w:rsid w:val="00DF5742"/>
    <w:rsid w:val="00DF5A4D"/>
    <w:rsid w:val="00DF6C17"/>
    <w:rsid w:val="00DF6C3F"/>
    <w:rsid w:val="00DF7895"/>
    <w:rsid w:val="00E0147A"/>
    <w:rsid w:val="00E07B9C"/>
    <w:rsid w:val="00E1168A"/>
    <w:rsid w:val="00E11D4F"/>
    <w:rsid w:val="00E135E7"/>
    <w:rsid w:val="00E13A81"/>
    <w:rsid w:val="00E13C93"/>
    <w:rsid w:val="00E14266"/>
    <w:rsid w:val="00E14364"/>
    <w:rsid w:val="00E172DB"/>
    <w:rsid w:val="00E17D1B"/>
    <w:rsid w:val="00E17EA9"/>
    <w:rsid w:val="00E20250"/>
    <w:rsid w:val="00E21FDD"/>
    <w:rsid w:val="00E2276B"/>
    <w:rsid w:val="00E22812"/>
    <w:rsid w:val="00E25BBA"/>
    <w:rsid w:val="00E30173"/>
    <w:rsid w:val="00E31263"/>
    <w:rsid w:val="00E31CB8"/>
    <w:rsid w:val="00E33693"/>
    <w:rsid w:val="00E412A0"/>
    <w:rsid w:val="00E41F17"/>
    <w:rsid w:val="00E446E9"/>
    <w:rsid w:val="00E45CDC"/>
    <w:rsid w:val="00E52FAF"/>
    <w:rsid w:val="00E604FE"/>
    <w:rsid w:val="00E60678"/>
    <w:rsid w:val="00E60D7E"/>
    <w:rsid w:val="00E622CD"/>
    <w:rsid w:val="00E63710"/>
    <w:rsid w:val="00E66448"/>
    <w:rsid w:val="00E723EA"/>
    <w:rsid w:val="00E72BC4"/>
    <w:rsid w:val="00E73426"/>
    <w:rsid w:val="00E73DC7"/>
    <w:rsid w:val="00E74434"/>
    <w:rsid w:val="00E77789"/>
    <w:rsid w:val="00E80D5F"/>
    <w:rsid w:val="00E81DB6"/>
    <w:rsid w:val="00E861FD"/>
    <w:rsid w:val="00E90114"/>
    <w:rsid w:val="00E90A8E"/>
    <w:rsid w:val="00E91983"/>
    <w:rsid w:val="00E95414"/>
    <w:rsid w:val="00E963F9"/>
    <w:rsid w:val="00EA09B7"/>
    <w:rsid w:val="00EA111D"/>
    <w:rsid w:val="00EA2EC4"/>
    <w:rsid w:val="00EA48E5"/>
    <w:rsid w:val="00EA5CE4"/>
    <w:rsid w:val="00EB1556"/>
    <w:rsid w:val="00EB25BD"/>
    <w:rsid w:val="00EB4B04"/>
    <w:rsid w:val="00EB5435"/>
    <w:rsid w:val="00EB5837"/>
    <w:rsid w:val="00EB6498"/>
    <w:rsid w:val="00EC1CD2"/>
    <w:rsid w:val="00EC2674"/>
    <w:rsid w:val="00EC319D"/>
    <w:rsid w:val="00EC35D7"/>
    <w:rsid w:val="00EC3F00"/>
    <w:rsid w:val="00EC5F74"/>
    <w:rsid w:val="00EC6F23"/>
    <w:rsid w:val="00EC7424"/>
    <w:rsid w:val="00EC7514"/>
    <w:rsid w:val="00EC7A07"/>
    <w:rsid w:val="00ED0BC3"/>
    <w:rsid w:val="00ED0BF0"/>
    <w:rsid w:val="00ED1191"/>
    <w:rsid w:val="00ED3228"/>
    <w:rsid w:val="00ED60E9"/>
    <w:rsid w:val="00EE006E"/>
    <w:rsid w:val="00EE1A63"/>
    <w:rsid w:val="00EE446F"/>
    <w:rsid w:val="00EE7076"/>
    <w:rsid w:val="00EF1677"/>
    <w:rsid w:val="00EF1FA0"/>
    <w:rsid w:val="00EF2F23"/>
    <w:rsid w:val="00EF3F24"/>
    <w:rsid w:val="00EF5CB7"/>
    <w:rsid w:val="00EF6902"/>
    <w:rsid w:val="00EF7AD0"/>
    <w:rsid w:val="00F018EB"/>
    <w:rsid w:val="00F0200A"/>
    <w:rsid w:val="00F02095"/>
    <w:rsid w:val="00F04563"/>
    <w:rsid w:val="00F04DAE"/>
    <w:rsid w:val="00F05DD4"/>
    <w:rsid w:val="00F06267"/>
    <w:rsid w:val="00F0673D"/>
    <w:rsid w:val="00F06C86"/>
    <w:rsid w:val="00F10D49"/>
    <w:rsid w:val="00F11A26"/>
    <w:rsid w:val="00F14074"/>
    <w:rsid w:val="00F14DA6"/>
    <w:rsid w:val="00F14F1B"/>
    <w:rsid w:val="00F15503"/>
    <w:rsid w:val="00F17289"/>
    <w:rsid w:val="00F1733A"/>
    <w:rsid w:val="00F24554"/>
    <w:rsid w:val="00F24752"/>
    <w:rsid w:val="00F306C0"/>
    <w:rsid w:val="00F3114C"/>
    <w:rsid w:val="00F31D15"/>
    <w:rsid w:val="00F32A3B"/>
    <w:rsid w:val="00F32E01"/>
    <w:rsid w:val="00F33267"/>
    <w:rsid w:val="00F4215C"/>
    <w:rsid w:val="00F422DC"/>
    <w:rsid w:val="00F429CF"/>
    <w:rsid w:val="00F44202"/>
    <w:rsid w:val="00F4796D"/>
    <w:rsid w:val="00F507DD"/>
    <w:rsid w:val="00F54ED4"/>
    <w:rsid w:val="00F57B0C"/>
    <w:rsid w:val="00F606E6"/>
    <w:rsid w:val="00F6126E"/>
    <w:rsid w:val="00F6173C"/>
    <w:rsid w:val="00F62788"/>
    <w:rsid w:val="00F63C83"/>
    <w:rsid w:val="00F63DA4"/>
    <w:rsid w:val="00F63FE1"/>
    <w:rsid w:val="00F70FA5"/>
    <w:rsid w:val="00F71C66"/>
    <w:rsid w:val="00F7396C"/>
    <w:rsid w:val="00F7672B"/>
    <w:rsid w:val="00F76A50"/>
    <w:rsid w:val="00F8014A"/>
    <w:rsid w:val="00F80FC3"/>
    <w:rsid w:val="00F818F9"/>
    <w:rsid w:val="00F82095"/>
    <w:rsid w:val="00F82FD4"/>
    <w:rsid w:val="00F916A7"/>
    <w:rsid w:val="00F9251B"/>
    <w:rsid w:val="00F93B34"/>
    <w:rsid w:val="00F93B8A"/>
    <w:rsid w:val="00F947FC"/>
    <w:rsid w:val="00F9482D"/>
    <w:rsid w:val="00FA16F4"/>
    <w:rsid w:val="00FA1DCA"/>
    <w:rsid w:val="00FA3644"/>
    <w:rsid w:val="00FA3DAE"/>
    <w:rsid w:val="00FA5C33"/>
    <w:rsid w:val="00FA74BE"/>
    <w:rsid w:val="00FA7DE3"/>
    <w:rsid w:val="00FB0CE6"/>
    <w:rsid w:val="00FB2BE2"/>
    <w:rsid w:val="00FB3242"/>
    <w:rsid w:val="00FB3561"/>
    <w:rsid w:val="00FB3A25"/>
    <w:rsid w:val="00FB3FDF"/>
    <w:rsid w:val="00FB56CA"/>
    <w:rsid w:val="00FB62BC"/>
    <w:rsid w:val="00FB6E82"/>
    <w:rsid w:val="00FC2AC3"/>
    <w:rsid w:val="00FC4BB6"/>
    <w:rsid w:val="00FC6B28"/>
    <w:rsid w:val="00FC7A65"/>
    <w:rsid w:val="00FD63AE"/>
    <w:rsid w:val="00FD7293"/>
    <w:rsid w:val="00FE1D92"/>
    <w:rsid w:val="00FE2262"/>
    <w:rsid w:val="00FE250E"/>
    <w:rsid w:val="00FE4096"/>
    <w:rsid w:val="00FE4A67"/>
    <w:rsid w:val="00FE684C"/>
    <w:rsid w:val="00FE7350"/>
    <w:rsid w:val="00FF0B4B"/>
    <w:rsid w:val="00FF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FCDB15"/>
  <w15:docId w15:val="{D0D7471D-6F7D-4B1E-B25B-B008A810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5B2BA8"/>
    <w:pPr>
      <w:spacing w:after="160" w:line="240" w:lineRule="exact"/>
    </w:pPr>
    <w:rPr>
      <w:rFonts w:ascii="Tahoma" w:hAnsi="Tahoma"/>
      <w:sz w:val="20"/>
      <w:lang w:eastAsia="en-GB"/>
    </w:rPr>
  </w:style>
  <w:style w:type="character" w:styleId="Hyperlink">
    <w:name w:val="Hyperlink"/>
    <w:rsid w:val="005B2BA8"/>
    <w:rPr>
      <w:color w:val="0000FF"/>
      <w:u w:val="single"/>
    </w:rPr>
  </w:style>
  <w:style w:type="paragraph" w:styleId="Title">
    <w:name w:val="Title"/>
    <w:basedOn w:val="Normal"/>
    <w:next w:val="Subtitle"/>
    <w:qFormat/>
    <w:rsid w:val="006F7789"/>
    <w:pPr>
      <w:widowControl w:val="0"/>
      <w:suppressAutoHyphens/>
      <w:spacing w:after="120" w:line="640" w:lineRule="exact"/>
    </w:pPr>
    <w:rPr>
      <w:rFonts w:eastAsia="Times" w:cs="Arial"/>
      <w:bCs/>
      <w:color w:val="0A1B5F"/>
      <w:kern w:val="1"/>
      <w:sz w:val="60"/>
      <w:szCs w:val="32"/>
      <w:lang w:eastAsia="ar-SA"/>
    </w:rPr>
  </w:style>
  <w:style w:type="paragraph" w:styleId="Subtitle">
    <w:name w:val="Subtitle"/>
    <w:basedOn w:val="Normal"/>
    <w:next w:val="BodyText"/>
    <w:qFormat/>
    <w:rsid w:val="006F7789"/>
    <w:pPr>
      <w:keepNext/>
      <w:suppressAutoHyphens/>
      <w:spacing w:before="240" w:after="120"/>
      <w:jc w:val="center"/>
    </w:pPr>
    <w:rPr>
      <w:rFonts w:eastAsia="MS Mincho" w:cs="Tahoma"/>
      <w:i/>
      <w:iCs/>
      <w:sz w:val="28"/>
      <w:szCs w:val="28"/>
      <w:lang w:eastAsia="ar-SA"/>
    </w:rPr>
  </w:style>
  <w:style w:type="paragraph" w:styleId="ListBullet">
    <w:name w:val="List Bullet"/>
    <w:basedOn w:val="Normal"/>
    <w:rsid w:val="006F7789"/>
    <w:pPr>
      <w:widowControl w:val="0"/>
      <w:numPr>
        <w:numId w:val="1"/>
      </w:numPr>
      <w:suppressAutoHyphens/>
      <w:spacing w:after="240" w:line="240" w:lineRule="atLeast"/>
    </w:pPr>
    <w:rPr>
      <w:rFonts w:eastAsia="Times"/>
      <w:sz w:val="20"/>
      <w:lang w:eastAsia="ar-SA"/>
    </w:rPr>
  </w:style>
  <w:style w:type="paragraph" w:styleId="ListBullet2">
    <w:name w:val="List Bullet 2"/>
    <w:basedOn w:val="Normal"/>
    <w:rsid w:val="006F7789"/>
    <w:pPr>
      <w:widowControl w:val="0"/>
      <w:tabs>
        <w:tab w:val="num" w:pos="1080"/>
      </w:tabs>
      <w:suppressAutoHyphens/>
      <w:spacing w:after="240" w:line="240" w:lineRule="atLeast"/>
      <w:ind w:left="1080" w:hanging="360"/>
    </w:pPr>
    <w:rPr>
      <w:rFonts w:eastAsia="Times"/>
      <w:sz w:val="20"/>
      <w:lang w:eastAsia="ar-SA"/>
    </w:rPr>
  </w:style>
  <w:style w:type="paragraph" w:customStyle="1" w:styleId="CharChar">
    <w:name w:val="Char Char"/>
    <w:basedOn w:val="Normal"/>
    <w:rsid w:val="00CE3A1A"/>
    <w:pPr>
      <w:spacing w:after="160" w:line="240" w:lineRule="exact"/>
    </w:pPr>
    <w:rPr>
      <w:rFonts w:ascii="Tahoma" w:hAnsi="Tahoma"/>
      <w:sz w:val="20"/>
      <w:lang w:eastAsia="en-GB"/>
    </w:rPr>
  </w:style>
  <w:style w:type="paragraph" w:customStyle="1" w:styleId="Style1073741826">
    <w:name w:val="Style1073741826"/>
    <w:rsid w:val="001B1AFB"/>
    <w:pPr>
      <w:autoSpaceDE w:val="0"/>
      <w:autoSpaceDN w:val="0"/>
      <w:adjustRightInd w:val="0"/>
    </w:pPr>
    <w:rPr>
      <w:rFonts w:ascii="Arial" w:hAnsi="Arial"/>
      <w:b/>
      <w:bCs/>
      <w:sz w:val="24"/>
      <w:szCs w:val="24"/>
    </w:rPr>
  </w:style>
  <w:style w:type="paragraph" w:customStyle="1" w:styleId="CharCharCharCharCharChar">
    <w:name w:val="Char Char Char Char Char Char"/>
    <w:basedOn w:val="Normal"/>
    <w:rsid w:val="00A401D4"/>
    <w:pPr>
      <w:spacing w:after="160" w:line="240" w:lineRule="exact"/>
    </w:pPr>
    <w:rPr>
      <w:rFonts w:ascii="Tahoma" w:hAnsi="Tahoma"/>
      <w:sz w:val="20"/>
      <w:lang w:eastAsia="en-GB"/>
    </w:rPr>
  </w:style>
  <w:style w:type="character" w:styleId="CommentReference">
    <w:name w:val="annotation reference"/>
    <w:basedOn w:val="DefaultParagraphFont"/>
    <w:uiPriority w:val="99"/>
    <w:semiHidden/>
    <w:rsid w:val="00BF522C"/>
    <w:rPr>
      <w:sz w:val="16"/>
      <w:szCs w:val="16"/>
    </w:rPr>
  </w:style>
  <w:style w:type="paragraph" w:styleId="CommentText">
    <w:name w:val="annotation text"/>
    <w:basedOn w:val="Normal"/>
    <w:link w:val="CommentTextChar"/>
    <w:uiPriority w:val="99"/>
    <w:semiHidden/>
    <w:rsid w:val="00BF522C"/>
    <w:rPr>
      <w:sz w:val="20"/>
    </w:rPr>
  </w:style>
  <w:style w:type="paragraph" w:styleId="CommentSubject">
    <w:name w:val="annotation subject"/>
    <w:basedOn w:val="CommentText"/>
    <w:next w:val="CommentText"/>
    <w:semiHidden/>
    <w:rsid w:val="00BF522C"/>
    <w:rPr>
      <w:b/>
      <w:bCs/>
    </w:rPr>
  </w:style>
  <w:style w:type="character" w:customStyle="1" w:styleId="PlainTextChar">
    <w:name w:val="Plain Text Char"/>
    <w:basedOn w:val="DefaultParagraphFont"/>
    <w:link w:val="PlainText"/>
    <w:semiHidden/>
    <w:locked/>
    <w:rsid w:val="001B5E5C"/>
    <w:rPr>
      <w:rFonts w:ascii="Arial" w:hAnsi="Arial"/>
      <w:szCs w:val="21"/>
      <w:lang w:eastAsia="en-GB" w:bidi="ar-SA"/>
    </w:rPr>
  </w:style>
  <w:style w:type="paragraph" w:styleId="PlainText">
    <w:name w:val="Plain Text"/>
    <w:basedOn w:val="Normal"/>
    <w:link w:val="PlainTextChar"/>
    <w:semiHidden/>
    <w:rsid w:val="001B5E5C"/>
    <w:rPr>
      <w:sz w:val="20"/>
      <w:szCs w:val="21"/>
      <w:lang w:eastAsia="en-GB"/>
    </w:rPr>
  </w:style>
  <w:style w:type="paragraph" w:styleId="ListParagraph">
    <w:name w:val="List Paragraph"/>
    <w:basedOn w:val="Normal"/>
    <w:uiPriority w:val="34"/>
    <w:qFormat/>
    <w:rsid w:val="00BB7687"/>
    <w:pPr>
      <w:ind w:left="720"/>
    </w:pPr>
  </w:style>
  <w:style w:type="character" w:customStyle="1" w:styleId="Heading2Char">
    <w:name w:val="Heading 2 Char"/>
    <w:basedOn w:val="DefaultParagraphFont"/>
    <w:link w:val="Heading2"/>
    <w:rsid w:val="00360C18"/>
    <w:rPr>
      <w:rFonts w:ascii="Arial" w:hAnsi="Arial" w:cs="Arial"/>
      <w:b/>
      <w:bCs/>
      <w:sz w:val="28"/>
      <w:szCs w:val="32"/>
      <w:lang w:val="en-GB" w:eastAsia="en-US" w:bidi="ar-SA"/>
    </w:rPr>
  </w:style>
  <w:style w:type="paragraph" w:customStyle="1" w:styleId="CharCharCharChar">
    <w:name w:val="Char Char Char Char"/>
    <w:basedOn w:val="Normal"/>
    <w:locked/>
    <w:rsid w:val="00095959"/>
    <w:pPr>
      <w:spacing w:after="160" w:line="240" w:lineRule="exact"/>
    </w:pPr>
    <w:rPr>
      <w:rFonts w:ascii="Verdana" w:hAnsi="Verdana"/>
      <w:sz w:val="20"/>
      <w:lang w:val="en-US"/>
    </w:rPr>
  </w:style>
  <w:style w:type="paragraph" w:customStyle="1" w:styleId="CharCharCharChar2">
    <w:name w:val="Char Char Char Char2"/>
    <w:basedOn w:val="Normal"/>
    <w:locked/>
    <w:rsid w:val="00B36B3B"/>
    <w:pPr>
      <w:spacing w:after="160" w:line="240" w:lineRule="exact"/>
    </w:pPr>
    <w:rPr>
      <w:rFonts w:ascii="Verdana" w:hAnsi="Verdana"/>
      <w:sz w:val="20"/>
      <w:lang w:val="en-US"/>
    </w:rPr>
  </w:style>
  <w:style w:type="paragraph" w:customStyle="1" w:styleId="CharCharCharChar1">
    <w:name w:val="Char Char Char Char1"/>
    <w:basedOn w:val="Normal"/>
    <w:locked/>
    <w:rsid w:val="00AA75AD"/>
    <w:pPr>
      <w:spacing w:after="160" w:line="240" w:lineRule="exact"/>
    </w:pPr>
    <w:rPr>
      <w:rFonts w:ascii="Verdana" w:hAnsi="Verdana"/>
      <w:sz w:val="20"/>
      <w:lang w:val="en-US"/>
    </w:rPr>
  </w:style>
  <w:style w:type="paragraph" w:styleId="NormalWeb">
    <w:name w:val="Normal (Web)"/>
    <w:basedOn w:val="Normal"/>
    <w:uiPriority w:val="99"/>
    <w:unhideWhenUsed/>
    <w:rsid w:val="00D91DA0"/>
    <w:pPr>
      <w:spacing w:before="100" w:beforeAutospacing="1" w:after="100" w:afterAutospacing="1"/>
    </w:pPr>
    <w:rPr>
      <w:rFonts w:ascii="Times New Roman" w:eastAsiaTheme="minorHAnsi" w:hAnsi="Times New Roman"/>
      <w:szCs w:val="24"/>
      <w:lang w:eastAsia="en-GB"/>
    </w:rPr>
  </w:style>
  <w:style w:type="character" w:customStyle="1" w:styleId="CommentTextChar">
    <w:name w:val="Comment Text Char"/>
    <w:basedOn w:val="DefaultParagraphFont"/>
    <w:link w:val="CommentText"/>
    <w:uiPriority w:val="99"/>
    <w:semiHidden/>
    <w:rsid w:val="00386950"/>
    <w:rPr>
      <w:rFonts w:ascii="Arial" w:hAnsi="Arial"/>
      <w:lang w:eastAsia="en-US"/>
    </w:rPr>
  </w:style>
  <w:style w:type="paragraph" w:customStyle="1" w:styleId="CharCharCharChar0">
    <w:name w:val="Char Char Char Char"/>
    <w:basedOn w:val="Normal"/>
    <w:locked/>
    <w:rsid w:val="00B81155"/>
    <w:pPr>
      <w:spacing w:after="160" w:line="240" w:lineRule="exact"/>
    </w:pPr>
    <w:rPr>
      <w:rFonts w:ascii="Verdana" w:hAnsi="Verdana"/>
      <w:sz w:val="20"/>
      <w:lang w:val="en-US"/>
    </w:rPr>
  </w:style>
  <w:style w:type="paragraph" w:customStyle="1" w:styleId="Default">
    <w:name w:val="Default"/>
    <w:rsid w:val="00B31F15"/>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00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650BE1"/>
    <w:rPr>
      <w:vanish w:val="0"/>
      <w:webHidden w:val="0"/>
      <w:specVanish w:val="0"/>
    </w:rPr>
  </w:style>
  <w:style w:type="character" w:customStyle="1" w:styleId="legchangedelimiter2">
    <w:name w:val="legchangedelimiter2"/>
    <w:basedOn w:val="DefaultParagraphFont"/>
    <w:rsid w:val="00650BE1"/>
    <w:rPr>
      <w:b/>
      <w:bCs/>
      <w:i w:val="0"/>
      <w:iCs w:val="0"/>
      <w:color w:val="000000"/>
      <w:sz w:val="34"/>
      <w:szCs w:val="34"/>
    </w:rPr>
  </w:style>
  <w:style w:type="character" w:customStyle="1" w:styleId="legaddition5">
    <w:name w:val="legaddition5"/>
    <w:basedOn w:val="DefaultParagraphFont"/>
    <w:rsid w:val="00650BE1"/>
  </w:style>
  <w:style w:type="table" w:customStyle="1" w:styleId="Style1">
    <w:name w:val="Style1"/>
    <w:basedOn w:val="TableNormal"/>
    <w:uiPriority w:val="99"/>
    <w:rsid w:val="00EB25BD"/>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1678">
      <w:bodyDiv w:val="1"/>
      <w:marLeft w:val="0"/>
      <w:marRight w:val="0"/>
      <w:marTop w:val="0"/>
      <w:marBottom w:val="0"/>
      <w:divBdr>
        <w:top w:val="none" w:sz="0" w:space="0" w:color="auto"/>
        <w:left w:val="none" w:sz="0" w:space="0" w:color="auto"/>
        <w:bottom w:val="none" w:sz="0" w:space="0" w:color="auto"/>
        <w:right w:val="none" w:sz="0" w:space="0" w:color="auto"/>
      </w:divBdr>
    </w:div>
    <w:div w:id="159851581">
      <w:bodyDiv w:val="1"/>
      <w:marLeft w:val="0"/>
      <w:marRight w:val="0"/>
      <w:marTop w:val="0"/>
      <w:marBottom w:val="0"/>
      <w:divBdr>
        <w:top w:val="none" w:sz="0" w:space="0" w:color="auto"/>
        <w:left w:val="none" w:sz="0" w:space="0" w:color="auto"/>
        <w:bottom w:val="none" w:sz="0" w:space="0" w:color="auto"/>
        <w:right w:val="none" w:sz="0" w:space="0" w:color="auto"/>
      </w:divBdr>
    </w:div>
    <w:div w:id="286930163">
      <w:bodyDiv w:val="1"/>
      <w:marLeft w:val="0"/>
      <w:marRight w:val="0"/>
      <w:marTop w:val="0"/>
      <w:marBottom w:val="0"/>
      <w:divBdr>
        <w:top w:val="none" w:sz="0" w:space="0" w:color="auto"/>
        <w:left w:val="none" w:sz="0" w:space="0" w:color="auto"/>
        <w:bottom w:val="none" w:sz="0" w:space="0" w:color="auto"/>
        <w:right w:val="none" w:sz="0" w:space="0" w:color="auto"/>
      </w:divBdr>
      <w:divsChild>
        <w:div w:id="62535674">
          <w:marLeft w:val="0"/>
          <w:marRight w:val="0"/>
          <w:marTop w:val="0"/>
          <w:marBottom w:val="0"/>
          <w:divBdr>
            <w:top w:val="none" w:sz="0" w:space="0" w:color="auto"/>
            <w:left w:val="none" w:sz="0" w:space="0" w:color="auto"/>
            <w:bottom w:val="none" w:sz="0" w:space="0" w:color="auto"/>
            <w:right w:val="none" w:sz="0" w:space="0" w:color="auto"/>
          </w:divBdr>
        </w:div>
        <w:div w:id="94719022">
          <w:marLeft w:val="0"/>
          <w:marRight w:val="0"/>
          <w:marTop w:val="0"/>
          <w:marBottom w:val="0"/>
          <w:divBdr>
            <w:top w:val="none" w:sz="0" w:space="0" w:color="auto"/>
            <w:left w:val="none" w:sz="0" w:space="0" w:color="auto"/>
            <w:bottom w:val="none" w:sz="0" w:space="0" w:color="auto"/>
            <w:right w:val="none" w:sz="0" w:space="0" w:color="auto"/>
          </w:divBdr>
        </w:div>
        <w:div w:id="116998458">
          <w:marLeft w:val="0"/>
          <w:marRight w:val="0"/>
          <w:marTop w:val="0"/>
          <w:marBottom w:val="0"/>
          <w:divBdr>
            <w:top w:val="none" w:sz="0" w:space="0" w:color="auto"/>
            <w:left w:val="none" w:sz="0" w:space="0" w:color="auto"/>
            <w:bottom w:val="none" w:sz="0" w:space="0" w:color="auto"/>
            <w:right w:val="none" w:sz="0" w:space="0" w:color="auto"/>
          </w:divBdr>
        </w:div>
        <w:div w:id="119232069">
          <w:marLeft w:val="0"/>
          <w:marRight w:val="0"/>
          <w:marTop w:val="0"/>
          <w:marBottom w:val="0"/>
          <w:divBdr>
            <w:top w:val="none" w:sz="0" w:space="0" w:color="auto"/>
            <w:left w:val="none" w:sz="0" w:space="0" w:color="auto"/>
            <w:bottom w:val="none" w:sz="0" w:space="0" w:color="auto"/>
            <w:right w:val="none" w:sz="0" w:space="0" w:color="auto"/>
          </w:divBdr>
        </w:div>
        <w:div w:id="169418278">
          <w:marLeft w:val="0"/>
          <w:marRight w:val="0"/>
          <w:marTop w:val="0"/>
          <w:marBottom w:val="0"/>
          <w:divBdr>
            <w:top w:val="none" w:sz="0" w:space="0" w:color="auto"/>
            <w:left w:val="none" w:sz="0" w:space="0" w:color="auto"/>
            <w:bottom w:val="none" w:sz="0" w:space="0" w:color="auto"/>
            <w:right w:val="none" w:sz="0" w:space="0" w:color="auto"/>
          </w:divBdr>
        </w:div>
        <w:div w:id="246503324">
          <w:marLeft w:val="0"/>
          <w:marRight w:val="0"/>
          <w:marTop w:val="0"/>
          <w:marBottom w:val="0"/>
          <w:divBdr>
            <w:top w:val="none" w:sz="0" w:space="0" w:color="auto"/>
            <w:left w:val="none" w:sz="0" w:space="0" w:color="auto"/>
            <w:bottom w:val="none" w:sz="0" w:space="0" w:color="auto"/>
            <w:right w:val="none" w:sz="0" w:space="0" w:color="auto"/>
          </w:divBdr>
        </w:div>
        <w:div w:id="358969165">
          <w:marLeft w:val="0"/>
          <w:marRight w:val="0"/>
          <w:marTop w:val="0"/>
          <w:marBottom w:val="0"/>
          <w:divBdr>
            <w:top w:val="none" w:sz="0" w:space="0" w:color="auto"/>
            <w:left w:val="none" w:sz="0" w:space="0" w:color="auto"/>
            <w:bottom w:val="none" w:sz="0" w:space="0" w:color="auto"/>
            <w:right w:val="none" w:sz="0" w:space="0" w:color="auto"/>
          </w:divBdr>
        </w:div>
        <w:div w:id="439184950">
          <w:marLeft w:val="0"/>
          <w:marRight w:val="0"/>
          <w:marTop w:val="0"/>
          <w:marBottom w:val="0"/>
          <w:divBdr>
            <w:top w:val="none" w:sz="0" w:space="0" w:color="auto"/>
            <w:left w:val="none" w:sz="0" w:space="0" w:color="auto"/>
            <w:bottom w:val="none" w:sz="0" w:space="0" w:color="auto"/>
            <w:right w:val="none" w:sz="0" w:space="0" w:color="auto"/>
          </w:divBdr>
        </w:div>
        <w:div w:id="584262717">
          <w:marLeft w:val="0"/>
          <w:marRight w:val="0"/>
          <w:marTop w:val="0"/>
          <w:marBottom w:val="0"/>
          <w:divBdr>
            <w:top w:val="none" w:sz="0" w:space="0" w:color="auto"/>
            <w:left w:val="none" w:sz="0" w:space="0" w:color="auto"/>
            <w:bottom w:val="none" w:sz="0" w:space="0" w:color="auto"/>
            <w:right w:val="none" w:sz="0" w:space="0" w:color="auto"/>
          </w:divBdr>
        </w:div>
        <w:div w:id="694157678">
          <w:marLeft w:val="0"/>
          <w:marRight w:val="0"/>
          <w:marTop w:val="0"/>
          <w:marBottom w:val="0"/>
          <w:divBdr>
            <w:top w:val="none" w:sz="0" w:space="0" w:color="auto"/>
            <w:left w:val="none" w:sz="0" w:space="0" w:color="auto"/>
            <w:bottom w:val="none" w:sz="0" w:space="0" w:color="auto"/>
            <w:right w:val="none" w:sz="0" w:space="0" w:color="auto"/>
          </w:divBdr>
        </w:div>
        <w:div w:id="764106834">
          <w:marLeft w:val="0"/>
          <w:marRight w:val="0"/>
          <w:marTop w:val="0"/>
          <w:marBottom w:val="0"/>
          <w:divBdr>
            <w:top w:val="none" w:sz="0" w:space="0" w:color="auto"/>
            <w:left w:val="none" w:sz="0" w:space="0" w:color="auto"/>
            <w:bottom w:val="none" w:sz="0" w:space="0" w:color="auto"/>
            <w:right w:val="none" w:sz="0" w:space="0" w:color="auto"/>
          </w:divBdr>
        </w:div>
        <w:div w:id="784233975">
          <w:marLeft w:val="0"/>
          <w:marRight w:val="0"/>
          <w:marTop w:val="0"/>
          <w:marBottom w:val="0"/>
          <w:divBdr>
            <w:top w:val="none" w:sz="0" w:space="0" w:color="auto"/>
            <w:left w:val="none" w:sz="0" w:space="0" w:color="auto"/>
            <w:bottom w:val="none" w:sz="0" w:space="0" w:color="auto"/>
            <w:right w:val="none" w:sz="0" w:space="0" w:color="auto"/>
          </w:divBdr>
        </w:div>
        <w:div w:id="866329262">
          <w:marLeft w:val="0"/>
          <w:marRight w:val="0"/>
          <w:marTop w:val="0"/>
          <w:marBottom w:val="0"/>
          <w:divBdr>
            <w:top w:val="none" w:sz="0" w:space="0" w:color="auto"/>
            <w:left w:val="none" w:sz="0" w:space="0" w:color="auto"/>
            <w:bottom w:val="none" w:sz="0" w:space="0" w:color="auto"/>
            <w:right w:val="none" w:sz="0" w:space="0" w:color="auto"/>
          </w:divBdr>
        </w:div>
        <w:div w:id="889418402">
          <w:marLeft w:val="0"/>
          <w:marRight w:val="0"/>
          <w:marTop w:val="0"/>
          <w:marBottom w:val="0"/>
          <w:divBdr>
            <w:top w:val="none" w:sz="0" w:space="0" w:color="auto"/>
            <w:left w:val="none" w:sz="0" w:space="0" w:color="auto"/>
            <w:bottom w:val="none" w:sz="0" w:space="0" w:color="auto"/>
            <w:right w:val="none" w:sz="0" w:space="0" w:color="auto"/>
          </w:divBdr>
        </w:div>
        <w:div w:id="936789593">
          <w:marLeft w:val="0"/>
          <w:marRight w:val="0"/>
          <w:marTop w:val="0"/>
          <w:marBottom w:val="0"/>
          <w:divBdr>
            <w:top w:val="none" w:sz="0" w:space="0" w:color="auto"/>
            <w:left w:val="none" w:sz="0" w:space="0" w:color="auto"/>
            <w:bottom w:val="none" w:sz="0" w:space="0" w:color="auto"/>
            <w:right w:val="none" w:sz="0" w:space="0" w:color="auto"/>
          </w:divBdr>
        </w:div>
        <w:div w:id="996373086">
          <w:marLeft w:val="0"/>
          <w:marRight w:val="0"/>
          <w:marTop w:val="0"/>
          <w:marBottom w:val="0"/>
          <w:divBdr>
            <w:top w:val="none" w:sz="0" w:space="0" w:color="auto"/>
            <w:left w:val="none" w:sz="0" w:space="0" w:color="auto"/>
            <w:bottom w:val="none" w:sz="0" w:space="0" w:color="auto"/>
            <w:right w:val="none" w:sz="0" w:space="0" w:color="auto"/>
          </w:divBdr>
        </w:div>
        <w:div w:id="1049957057">
          <w:marLeft w:val="0"/>
          <w:marRight w:val="0"/>
          <w:marTop w:val="0"/>
          <w:marBottom w:val="0"/>
          <w:divBdr>
            <w:top w:val="none" w:sz="0" w:space="0" w:color="auto"/>
            <w:left w:val="none" w:sz="0" w:space="0" w:color="auto"/>
            <w:bottom w:val="none" w:sz="0" w:space="0" w:color="auto"/>
            <w:right w:val="none" w:sz="0" w:space="0" w:color="auto"/>
          </w:divBdr>
        </w:div>
        <w:div w:id="1188106040">
          <w:marLeft w:val="0"/>
          <w:marRight w:val="0"/>
          <w:marTop w:val="0"/>
          <w:marBottom w:val="0"/>
          <w:divBdr>
            <w:top w:val="none" w:sz="0" w:space="0" w:color="auto"/>
            <w:left w:val="none" w:sz="0" w:space="0" w:color="auto"/>
            <w:bottom w:val="none" w:sz="0" w:space="0" w:color="auto"/>
            <w:right w:val="none" w:sz="0" w:space="0" w:color="auto"/>
          </w:divBdr>
        </w:div>
        <w:div w:id="1466046615">
          <w:marLeft w:val="0"/>
          <w:marRight w:val="0"/>
          <w:marTop w:val="0"/>
          <w:marBottom w:val="0"/>
          <w:divBdr>
            <w:top w:val="none" w:sz="0" w:space="0" w:color="auto"/>
            <w:left w:val="none" w:sz="0" w:space="0" w:color="auto"/>
            <w:bottom w:val="none" w:sz="0" w:space="0" w:color="auto"/>
            <w:right w:val="none" w:sz="0" w:space="0" w:color="auto"/>
          </w:divBdr>
        </w:div>
        <w:div w:id="1539927614">
          <w:marLeft w:val="0"/>
          <w:marRight w:val="0"/>
          <w:marTop w:val="0"/>
          <w:marBottom w:val="0"/>
          <w:divBdr>
            <w:top w:val="none" w:sz="0" w:space="0" w:color="auto"/>
            <w:left w:val="none" w:sz="0" w:space="0" w:color="auto"/>
            <w:bottom w:val="none" w:sz="0" w:space="0" w:color="auto"/>
            <w:right w:val="none" w:sz="0" w:space="0" w:color="auto"/>
          </w:divBdr>
        </w:div>
        <w:div w:id="1578127299">
          <w:marLeft w:val="0"/>
          <w:marRight w:val="0"/>
          <w:marTop w:val="0"/>
          <w:marBottom w:val="0"/>
          <w:divBdr>
            <w:top w:val="none" w:sz="0" w:space="0" w:color="auto"/>
            <w:left w:val="none" w:sz="0" w:space="0" w:color="auto"/>
            <w:bottom w:val="none" w:sz="0" w:space="0" w:color="auto"/>
            <w:right w:val="none" w:sz="0" w:space="0" w:color="auto"/>
          </w:divBdr>
        </w:div>
        <w:div w:id="1647976915">
          <w:marLeft w:val="0"/>
          <w:marRight w:val="0"/>
          <w:marTop w:val="0"/>
          <w:marBottom w:val="0"/>
          <w:divBdr>
            <w:top w:val="none" w:sz="0" w:space="0" w:color="auto"/>
            <w:left w:val="none" w:sz="0" w:space="0" w:color="auto"/>
            <w:bottom w:val="none" w:sz="0" w:space="0" w:color="auto"/>
            <w:right w:val="none" w:sz="0" w:space="0" w:color="auto"/>
          </w:divBdr>
        </w:div>
        <w:div w:id="1660839308">
          <w:marLeft w:val="0"/>
          <w:marRight w:val="0"/>
          <w:marTop w:val="0"/>
          <w:marBottom w:val="0"/>
          <w:divBdr>
            <w:top w:val="none" w:sz="0" w:space="0" w:color="auto"/>
            <w:left w:val="none" w:sz="0" w:space="0" w:color="auto"/>
            <w:bottom w:val="none" w:sz="0" w:space="0" w:color="auto"/>
            <w:right w:val="none" w:sz="0" w:space="0" w:color="auto"/>
          </w:divBdr>
        </w:div>
        <w:div w:id="1806581914">
          <w:marLeft w:val="0"/>
          <w:marRight w:val="0"/>
          <w:marTop w:val="0"/>
          <w:marBottom w:val="0"/>
          <w:divBdr>
            <w:top w:val="none" w:sz="0" w:space="0" w:color="auto"/>
            <w:left w:val="none" w:sz="0" w:space="0" w:color="auto"/>
            <w:bottom w:val="none" w:sz="0" w:space="0" w:color="auto"/>
            <w:right w:val="none" w:sz="0" w:space="0" w:color="auto"/>
          </w:divBdr>
        </w:div>
        <w:div w:id="1870491557">
          <w:marLeft w:val="0"/>
          <w:marRight w:val="0"/>
          <w:marTop w:val="0"/>
          <w:marBottom w:val="0"/>
          <w:divBdr>
            <w:top w:val="none" w:sz="0" w:space="0" w:color="auto"/>
            <w:left w:val="none" w:sz="0" w:space="0" w:color="auto"/>
            <w:bottom w:val="none" w:sz="0" w:space="0" w:color="auto"/>
            <w:right w:val="none" w:sz="0" w:space="0" w:color="auto"/>
          </w:divBdr>
        </w:div>
        <w:div w:id="1932351608">
          <w:marLeft w:val="0"/>
          <w:marRight w:val="0"/>
          <w:marTop w:val="0"/>
          <w:marBottom w:val="0"/>
          <w:divBdr>
            <w:top w:val="none" w:sz="0" w:space="0" w:color="auto"/>
            <w:left w:val="none" w:sz="0" w:space="0" w:color="auto"/>
            <w:bottom w:val="none" w:sz="0" w:space="0" w:color="auto"/>
            <w:right w:val="none" w:sz="0" w:space="0" w:color="auto"/>
          </w:divBdr>
        </w:div>
        <w:div w:id="2074621025">
          <w:marLeft w:val="0"/>
          <w:marRight w:val="0"/>
          <w:marTop w:val="0"/>
          <w:marBottom w:val="0"/>
          <w:divBdr>
            <w:top w:val="none" w:sz="0" w:space="0" w:color="auto"/>
            <w:left w:val="none" w:sz="0" w:space="0" w:color="auto"/>
            <w:bottom w:val="none" w:sz="0" w:space="0" w:color="auto"/>
            <w:right w:val="none" w:sz="0" w:space="0" w:color="auto"/>
          </w:divBdr>
        </w:div>
      </w:divsChild>
    </w:div>
    <w:div w:id="311063007">
      <w:bodyDiv w:val="1"/>
      <w:marLeft w:val="0"/>
      <w:marRight w:val="0"/>
      <w:marTop w:val="0"/>
      <w:marBottom w:val="0"/>
      <w:divBdr>
        <w:top w:val="none" w:sz="0" w:space="0" w:color="auto"/>
        <w:left w:val="none" w:sz="0" w:space="0" w:color="auto"/>
        <w:bottom w:val="none" w:sz="0" w:space="0" w:color="auto"/>
        <w:right w:val="none" w:sz="0" w:space="0" w:color="auto"/>
      </w:divBdr>
    </w:div>
    <w:div w:id="510415449">
      <w:bodyDiv w:val="1"/>
      <w:marLeft w:val="0"/>
      <w:marRight w:val="0"/>
      <w:marTop w:val="0"/>
      <w:marBottom w:val="0"/>
      <w:divBdr>
        <w:top w:val="none" w:sz="0" w:space="0" w:color="auto"/>
        <w:left w:val="none" w:sz="0" w:space="0" w:color="auto"/>
        <w:bottom w:val="none" w:sz="0" w:space="0" w:color="auto"/>
        <w:right w:val="none" w:sz="0" w:space="0" w:color="auto"/>
      </w:divBdr>
    </w:div>
    <w:div w:id="535771305">
      <w:bodyDiv w:val="1"/>
      <w:marLeft w:val="0"/>
      <w:marRight w:val="0"/>
      <w:marTop w:val="0"/>
      <w:marBottom w:val="0"/>
      <w:divBdr>
        <w:top w:val="none" w:sz="0" w:space="0" w:color="auto"/>
        <w:left w:val="none" w:sz="0" w:space="0" w:color="auto"/>
        <w:bottom w:val="none" w:sz="0" w:space="0" w:color="auto"/>
        <w:right w:val="none" w:sz="0" w:space="0" w:color="auto"/>
      </w:divBdr>
    </w:div>
    <w:div w:id="555774807">
      <w:bodyDiv w:val="1"/>
      <w:marLeft w:val="0"/>
      <w:marRight w:val="0"/>
      <w:marTop w:val="0"/>
      <w:marBottom w:val="0"/>
      <w:divBdr>
        <w:top w:val="none" w:sz="0" w:space="0" w:color="auto"/>
        <w:left w:val="none" w:sz="0" w:space="0" w:color="auto"/>
        <w:bottom w:val="none" w:sz="0" w:space="0" w:color="auto"/>
        <w:right w:val="none" w:sz="0" w:space="0" w:color="auto"/>
      </w:divBdr>
    </w:div>
    <w:div w:id="595477972">
      <w:bodyDiv w:val="1"/>
      <w:marLeft w:val="0"/>
      <w:marRight w:val="0"/>
      <w:marTop w:val="0"/>
      <w:marBottom w:val="0"/>
      <w:divBdr>
        <w:top w:val="none" w:sz="0" w:space="0" w:color="auto"/>
        <w:left w:val="none" w:sz="0" w:space="0" w:color="auto"/>
        <w:bottom w:val="none" w:sz="0" w:space="0" w:color="auto"/>
        <w:right w:val="none" w:sz="0" w:space="0" w:color="auto"/>
      </w:divBdr>
    </w:div>
    <w:div w:id="638417923">
      <w:bodyDiv w:val="1"/>
      <w:marLeft w:val="0"/>
      <w:marRight w:val="0"/>
      <w:marTop w:val="0"/>
      <w:marBottom w:val="0"/>
      <w:divBdr>
        <w:top w:val="none" w:sz="0" w:space="0" w:color="auto"/>
        <w:left w:val="none" w:sz="0" w:space="0" w:color="auto"/>
        <w:bottom w:val="none" w:sz="0" w:space="0" w:color="auto"/>
        <w:right w:val="none" w:sz="0" w:space="0" w:color="auto"/>
      </w:divBdr>
    </w:div>
    <w:div w:id="640773453">
      <w:bodyDiv w:val="1"/>
      <w:marLeft w:val="0"/>
      <w:marRight w:val="0"/>
      <w:marTop w:val="0"/>
      <w:marBottom w:val="0"/>
      <w:divBdr>
        <w:top w:val="none" w:sz="0" w:space="0" w:color="auto"/>
        <w:left w:val="none" w:sz="0" w:space="0" w:color="auto"/>
        <w:bottom w:val="none" w:sz="0" w:space="0" w:color="auto"/>
        <w:right w:val="none" w:sz="0" w:space="0" w:color="auto"/>
      </w:divBdr>
    </w:div>
    <w:div w:id="705495582">
      <w:bodyDiv w:val="1"/>
      <w:marLeft w:val="0"/>
      <w:marRight w:val="0"/>
      <w:marTop w:val="0"/>
      <w:marBottom w:val="0"/>
      <w:divBdr>
        <w:top w:val="none" w:sz="0" w:space="0" w:color="auto"/>
        <w:left w:val="none" w:sz="0" w:space="0" w:color="auto"/>
        <w:bottom w:val="none" w:sz="0" w:space="0" w:color="auto"/>
        <w:right w:val="none" w:sz="0" w:space="0" w:color="auto"/>
      </w:divBdr>
    </w:div>
    <w:div w:id="741563316">
      <w:bodyDiv w:val="1"/>
      <w:marLeft w:val="0"/>
      <w:marRight w:val="0"/>
      <w:marTop w:val="0"/>
      <w:marBottom w:val="0"/>
      <w:divBdr>
        <w:top w:val="none" w:sz="0" w:space="0" w:color="auto"/>
        <w:left w:val="none" w:sz="0" w:space="0" w:color="auto"/>
        <w:bottom w:val="none" w:sz="0" w:space="0" w:color="auto"/>
        <w:right w:val="none" w:sz="0" w:space="0" w:color="auto"/>
      </w:divBdr>
    </w:div>
    <w:div w:id="772672665">
      <w:bodyDiv w:val="1"/>
      <w:marLeft w:val="0"/>
      <w:marRight w:val="0"/>
      <w:marTop w:val="0"/>
      <w:marBottom w:val="0"/>
      <w:divBdr>
        <w:top w:val="none" w:sz="0" w:space="0" w:color="auto"/>
        <w:left w:val="none" w:sz="0" w:space="0" w:color="auto"/>
        <w:bottom w:val="none" w:sz="0" w:space="0" w:color="auto"/>
        <w:right w:val="none" w:sz="0" w:space="0" w:color="auto"/>
      </w:divBdr>
    </w:div>
    <w:div w:id="781192649">
      <w:bodyDiv w:val="1"/>
      <w:marLeft w:val="0"/>
      <w:marRight w:val="0"/>
      <w:marTop w:val="0"/>
      <w:marBottom w:val="0"/>
      <w:divBdr>
        <w:top w:val="none" w:sz="0" w:space="0" w:color="auto"/>
        <w:left w:val="none" w:sz="0" w:space="0" w:color="auto"/>
        <w:bottom w:val="none" w:sz="0" w:space="0" w:color="auto"/>
        <w:right w:val="none" w:sz="0" w:space="0" w:color="auto"/>
      </w:divBdr>
    </w:div>
    <w:div w:id="894044031">
      <w:bodyDiv w:val="1"/>
      <w:marLeft w:val="0"/>
      <w:marRight w:val="0"/>
      <w:marTop w:val="0"/>
      <w:marBottom w:val="0"/>
      <w:divBdr>
        <w:top w:val="none" w:sz="0" w:space="0" w:color="auto"/>
        <w:left w:val="none" w:sz="0" w:space="0" w:color="auto"/>
        <w:bottom w:val="none" w:sz="0" w:space="0" w:color="auto"/>
        <w:right w:val="none" w:sz="0" w:space="0" w:color="auto"/>
      </w:divBdr>
    </w:div>
    <w:div w:id="910196626">
      <w:bodyDiv w:val="1"/>
      <w:marLeft w:val="0"/>
      <w:marRight w:val="0"/>
      <w:marTop w:val="0"/>
      <w:marBottom w:val="0"/>
      <w:divBdr>
        <w:top w:val="none" w:sz="0" w:space="0" w:color="auto"/>
        <w:left w:val="none" w:sz="0" w:space="0" w:color="auto"/>
        <w:bottom w:val="none" w:sz="0" w:space="0" w:color="auto"/>
        <w:right w:val="none" w:sz="0" w:space="0" w:color="auto"/>
      </w:divBdr>
    </w:div>
    <w:div w:id="974523727">
      <w:bodyDiv w:val="1"/>
      <w:marLeft w:val="0"/>
      <w:marRight w:val="0"/>
      <w:marTop w:val="0"/>
      <w:marBottom w:val="0"/>
      <w:divBdr>
        <w:top w:val="none" w:sz="0" w:space="0" w:color="auto"/>
        <w:left w:val="none" w:sz="0" w:space="0" w:color="auto"/>
        <w:bottom w:val="none" w:sz="0" w:space="0" w:color="auto"/>
        <w:right w:val="none" w:sz="0" w:space="0" w:color="auto"/>
      </w:divBdr>
    </w:div>
    <w:div w:id="1018043782">
      <w:bodyDiv w:val="1"/>
      <w:marLeft w:val="0"/>
      <w:marRight w:val="0"/>
      <w:marTop w:val="0"/>
      <w:marBottom w:val="0"/>
      <w:divBdr>
        <w:top w:val="none" w:sz="0" w:space="0" w:color="auto"/>
        <w:left w:val="none" w:sz="0" w:space="0" w:color="auto"/>
        <w:bottom w:val="none" w:sz="0" w:space="0" w:color="auto"/>
        <w:right w:val="none" w:sz="0" w:space="0" w:color="auto"/>
      </w:divBdr>
    </w:div>
    <w:div w:id="1041907356">
      <w:bodyDiv w:val="1"/>
      <w:marLeft w:val="0"/>
      <w:marRight w:val="0"/>
      <w:marTop w:val="0"/>
      <w:marBottom w:val="0"/>
      <w:divBdr>
        <w:top w:val="none" w:sz="0" w:space="0" w:color="auto"/>
        <w:left w:val="none" w:sz="0" w:space="0" w:color="auto"/>
        <w:bottom w:val="none" w:sz="0" w:space="0" w:color="auto"/>
        <w:right w:val="none" w:sz="0" w:space="0" w:color="auto"/>
      </w:divBdr>
    </w:div>
    <w:div w:id="1062369725">
      <w:bodyDiv w:val="1"/>
      <w:marLeft w:val="0"/>
      <w:marRight w:val="0"/>
      <w:marTop w:val="0"/>
      <w:marBottom w:val="0"/>
      <w:divBdr>
        <w:top w:val="none" w:sz="0" w:space="0" w:color="auto"/>
        <w:left w:val="none" w:sz="0" w:space="0" w:color="auto"/>
        <w:bottom w:val="none" w:sz="0" w:space="0" w:color="auto"/>
        <w:right w:val="none" w:sz="0" w:space="0" w:color="auto"/>
      </w:divBdr>
    </w:div>
    <w:div w:id="1097604705">
      <w:bodyDiv w:val="1"/>
      <w:marLeft w:val="0"/>
      <w:marRight w:val="0"/>
      <w:marTop w:val="0"/>
      <w:marBottom w:val="0"/>
      <w:divBdr>
        <w:top w:val="none" w:sz="0" w:space="0" w:color="auto"/>
        <w:left w:val="none" w:sz="0" w:space="0" w:color="auto"/>
        <w:bottom w:val="none" w:sz="0" w:space="0" w:color="auto"/>
        <w:right w:val="none" w:sz="0" w:space="0" w:color="auto"/>
      </w:divBdr>
    </w:div>
    <w:div w:id="1165820885">
      <w:bodyDiv w:val="1"/>
      <w:marLeft w:val="0"/>
      <w:marRight w:val="0"/>
      <w:marTop w:val="0"/>
      <w:marBottom w:val="0"/>
      <w:divBdr>
        <w:top w:val="none" w:sz="0" w:space="0" w:color="auto"/>
        <w:left w:val="none" w:sz="0" w:space="0" w:color="auto"/>
        <w:bottom w:val="none" w:sz="0" w:space="0" w:color="auto"/>
        <w:right w:val="none" w:sz="0" w:space="0" w:color="auto"/>
      </w:divBdr>
    </w:div>
    <w:div w:id="1200894057">
      <w:bodyDiv w:val="1"/>
      <w:marLeft w:val="0"/>
      <w:marRight w:val="0"/>
      <w:marTop w:val="0"/>
      <w:marBottom w:val="0"/>
      <w:divBdr>
        <w:top w:val="none" w:sz="0" w:space="0" w:color="auto"/>
        <w:left w:val="none" w:sz="0" w:space="0" w:color="auto"/>
        <w:bottom w:val="none" w:sz="0" w:space="0" w:color="auto"/>
        <w:right w:val="none" w:sz="0" w:space="0" w:color="auto"/>
      </w:divBdr>
    </w:div>
    <w:div w:id="1269777545">
      <w:bodyDiv w:val="1"/>
      <w:marLeft w:val="0"/>
      <w:marRight w:val="0"/>
      <w:marTop w:val="0"/>
      <w:marBottom w:val="0"/>
      <w:divBdr>
        <w:top w:val="none" w:sz="0" w:space="0" w:color="auto"/>
        <w:left w:val="none" w:sz="0" w:space="0" w:color="auto"/>
        <w:bottom w:val="none" w:sz="0" w:space="0" w:color="auto"/>
        <w:right w:val="none" w:sz="0" w:space="0" w:color="auto"/>
      </w:divBdr>
    </w:div>
    <w:div w:id="1397628977">
      <w:bodyDiv w:val="1"/>
      <w:marLeft w:val="0"/>
      <w:marRight w:val="0"/>
      <w:marTop w:val="0"/>
      <w:marBottom w:val="0"/>
      <w:divBdr>
        <w:top w:val="none" w:sz="0" w:space="0" w:color="auto"/>
        <w:left w:val="none" w:sz="0" w:space="0" w:color="auto"/>
        <w:bottom w:val="none" w:sz="0" w:space="0" w:color="auto"/>
        <w:right w:val="none" w:sz="0" w:space="0" w:color="auto"/>
      </w:divBdr>
    </w:div>
    <w:div w:id="1407266916">
      <w:bodyDiv w:val="1"/>
      <w:marLeft w:val="0"/>
      <w:marRight w:val="0"/>
      <w:marTop w:val="0"/>
      <w:marBottom w:val="0"/>
      <w:divBdr>
        <w:top w:val="none" w:sz="0" w:space="0" w:color="auto"/>
        <w:left w:val="none" w:sz="0" w:space="0" w:color="auto"/>
        <w:bottom w:val="none" w:sz="0" w:space="0" w:color="auto"/>
        <w:right w:val="none" w:sz="0" w:space="0" w:color="auto"/>
      </w:divBdr>
    </w:div>
    <w:div w:id="1453474000">
      <w:bodyDiv w:val="1"/>
      <w:marLeft w:val="0"/>
      <w:marRight w:val="0"/>
      <w:marTop w:val="0"/>
      <w:marBottom w:val="0"/>
      <w:divBdr>
        <w:top w:val="none" w:sz="0" w:space="0" w:color="auto"/>
        <w:left w:val="none" w:sz="0" w:space="0" w:color="auto"/>
        <w:bottom w:val="none" w:sz="0" w:space="0" w:color="auto"/>
        <w:right w:val="none" w:sz="0" w:space="0" w:color="auto"/>
      </w:divBdr>
    </w:div>
    <w:div w:id="1498231939">
      <w:bodyDiv w:val="1"/>
      <w:marLeft w:val="0"/>
      <w:marRight w:val="0"/>
      <w:marTop w:val="0"/>
      <w:marBottom w:val="0"/>
      <w:divBdr>
        <w:top w:val="none" w:sz="0" w:space="0" w:color="auto"/>
        <w:left w:val="none" w:sz="0" w:space="0" w:color="auto"/>
        <w:bottom w:val="none" w:sz="0" w:space="0" w:color="auto"/>
        <w:right w:val="none" w:sz="0" w:space="0" w:color="auto"/>
      </w:divBdr>
    </w:div>
    <w:div w:id="1504662222">
      <w:bodyDiv w:val="1"/>
      <w:marLeft w:val="0"/>
      <w:marRight w:val="0"/>
      <w:marTop w:val="0"/>
      <w:marBottom w:val="0"/>
      <w:divBdr>
        <w:top w:val="none" w:sz="0" w:space="0" w:color="auto"/>
        <w:left w:val="none" w:sz="0" w:space="0" w:color="auto"/>
        <w:bottom w:val="none" w:sz="0" w:space="0" w:color="auto"/>
        <w:right w:val="none" w:sz="0" w:space="0" w:color="auto"/>
      </w:divBdr>
    </w:div>
    <w:div w:id="1610119447">
      <w:bodyDiv w:val="1"/>
      <w:marLeft w:val="0"/>
      <w:marRight w:val="0"/>
      <w:marTop w:val="0"/>
      <w:marBottom w:val="0"/>
      <w:divBdr>
        <w:top w:val="none" w:sz="0" w:space="0" w:color="auto"/>
        <w:left w:val="none" w:sz="0" w:space="0" w:color="auto"/>
        <w:bottom w:val="none" w:sz="0" w:space="0" w:color="auto"/>
        <w:right w:val="none" w:sz="0" w:space="0" w:color="auto"/>
      </w:divBdr>
    </w:div>
    <w:div w:id="1611469504">
      <w:bodyDiv w:val="1"/>
      <w:marLeft w:val="0"/>
      <w:marRight w:val="0"/>
      <w:marTop w:val="0"/>
      <w:marBottom w:val="0"/>
      <w:divBdr>
        <w:top w:val="none" w:sz="0" w:space="0" w:color="auto"/>
        <w:left w:val="none" w:sz="0" w:space="0" w:color="auto"/>
        <w:bottom w:val="none" w:sz="0" w:space="0" w:color="auto"/>
        <w:right w:val="none" w:sz="0" w:space="0" w:color="auto"/>
      </w:divBdr>
    </w:div>
    <w:div w:id="1620531202">
      <w:bodyDiv w:val="1"/>
      <w:marLeft w:val="0"/>
      <w:marRight w:val="0"/>
      <w:marTop w:val="0"/>
      <w:marBottom w:val="0"/>
      <w:divBdr>
        <w:top w:val="none" w:sz="0" w:space="0" w:color="auto"/>
        <w:left w:val="none" w:sz="0" w:space="0" w:color="auto"/>
        <w:bottom w:val="none" w:sz="0" w:space="0" w:color="auto"/>
        <w:right w:val="none" w:sz="0" w:space="0" w:color="auto"/>
      </w:divBdr>
    </w:div>
    <w:div w:id="1666857184">
      <w:bodyDiv w:val="1"/>
      <w:marLeft w:val="0"/>
      <w:marRight w:val="0"/>
      <w:marTop w:val="0"/>
      <w:marBottom w:val="0"/>
      <w:divBdr>
        <w:top w:val="none" w:sz="0" w:space="0" w:color="auto"/>
        <w:left w:val="none" w:sz="0" w:space="0" w:color="auto"/>
        <w:bottom w:val="none" w:sz="0" w:space="0" w:color="auto"/>
        <w:right w:val="none" w:sz="0" w:space="0" w:color="auto"/>
      </w:divBdr>
    </w:div>
    <w:div w:id="1756779864">
      <w:bodyDiv w:val="1"/>
      <w:marLeft w:val="0"/>
      <w:marRight w:val="0"/>
      <w:marTop w:val="0"/>
      <w:marBottom w:val="0"/>
      <w:divBdr>
        <w:top w:val="none" w:sz="0" w:space="0" w:color="auto"/>
        <w:left w:val="none" w:sz="0" w:space="0" w:color="auto"/>
        <w:bottom w:val="none" w:sz="0" w:space="0" w:color="auto"/>
        <w:right w:val="none" w:sz="0" w:space="0" w:color="auto"/>
      </w:divBdr>
    </w:div>
    <w:div w:id="1757362283">
      <w:bodyDiv w:val="1"/>
      <w:marLeft w:val="0"/>
      <w:marRight w:val="0"/>
      <w:marTop w:val="0"/>
      <w:marBottom w:val="0"/>
      <w:divBdr>
        <w:top w:val="none" w:sz="0" w:space="0" w:color="auto"/>
        <w:left w:val="none" w:sz="0" w:space="0" w:color="auto"/>
        <w:bottom w:val="none" w:sz="0" w:space="0" w:color="auto"/>
        <w:right w:val="none" w:sz="0" w:space="0" w:color="auto"/>
      </w:divBdr>
    </w:div>
    <w:div w:id="1793130680">
      <w:bodyDiv w:val="1"/>
      <w:marLeft w:val="0"/>
      <w:marRight w:val="0"/>
      <w:marTop w:val="0"/>
      <w:marBottom w:val="0"/>
      <w:divBdr>
        <w:top w:val="none" w:sz="0" w:space="0" w:color="auto"/>
        <w:left w:val="none" w:sz="0" w:space="0" w:color="auto"/>
        <w:bottom w:val="none" w:sz="0" w:space="0" w:color="auto"/>
        <w:right w:val="none" w:sz="0" w:space="0" w:color="auto"/>
      </w:divBdr>
    </w:div>
    <w:div w:id="1813592516">
      <w:bodyDiv w:val="1"/>
      <w:marLeft w:val="0"/>
      <w:marRight w:val="0"/>
      <w:marTop w:val="0"/>
      <w:marBottom w:val="0"/>
      <w:divBdr>
        <w:top w:val="none" w:sz="0" w:space="0" w:color="auto"/>
        <w:left w:val="none" w:sz="0" w:space="0" w:color="auto"/>
        <w:bottom w:val="none" w:sz="0" w:space="0" w:color="auto"/>
        <w:right w:val="none" w:sz="0" w:space="0" w:color="auto"/>
      </w:divBdr>
    </w:div>
    <w:div w:id="1829442549">
      <w:bodyDiv w:val="1"/>
      <w:marLeft w:val="0"/>
      <w:marRight w:val="0"/>
      <w:marTop w:val="0"/>
      <w:marBottom w:val="0"/>
      <w:divBdr>
        <w:top w:val="none" w:sz="0" w:space="0" w:color="auto"/>
        <w:left w:val="none" w:sz="0" w:space="0" w:color="auto"/>
        <w:bottom w:val="none" w:sz="0" w:space="0" w:color="auto"/>
        <w:right w:val="none" w:sz="0" w:space="0" w:color="auto"/>
      </w:divBdr>
    </w:div>
    <w:div w:id="1877811194">
      <w:bodyDiv w:val="1"/>
      <w:marLeft w:val="0"/>
      <w:marRight w:val="0"/>
      <w:marTop w:val="0"/>
      <w:marBottom w:val="0"/>
      <w:divBdr>
        <w:top w:val="none" w:sz="0" w:space="0" w:color="auto"/>
        <w:left w:val="none" w:sz="0" w:space="0" w:color="auto"/>
        <w:bottom w:val="none" w:sz="0" w:space="0" w:color="auto"/>
        <w:right w:val="none" w:sz="0" w:space="0" w:color="auto"/>
      </w:divBdr>
    </w:div>
    <w:div w:id="1968320180">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 w:id="20963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on.daniels@harrow.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CD2F-A6FE-4F64-ADFB-AC88B4BD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25249</CharactersWithSpaces>
  <SharedDoc>false</SharedDoc>
  <HLinks>
    <vt:vector size="6" baseType="variant">
      <vt:variant>
        <vt:i4>7995457</vt:i4>
      </vt:variant>
      <vt:variant>
        <vt:i4>0</vt:i4>
      </vt:variant>
      <vt:variant>
        <vt:i4>0</vt:i4>
      </vt:variant>
      <vt:variant>
        <vt:i4>5</vt:i4>
      </vt:variant>
      <vt:variant>
        <vt:lpwstr>mailto:dawn.calvert@harrow.gov.uk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7</cp:revision>
  <cp:lastPrinted>2019-12-20T11:32:00Z</cp:lastPrinted>
  <dcterms:created xsi:type="dcterms:W3CDTF">2022-01-12T11:51:00Z</dcterms:created>
  <dcterms:modified xsi:type="dcterms:W3CDTF">2022-01-14T11:32:00Z</dcterms:modified>
</cp:coreProperties>
</file>